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C044B4" w14:textId="77777777" w:rsidR="00C8043C" w:rsidRPr="005F54F9" w:rsidRDefault="00C8043C" w:rsidP="00C8043C">
      <w:pPr>
        <w:spacing w:line="240" w:lineRule="auto"/>
        <w:contextualSpacing/>
        <w:jc w:val="center"/>
        <w:rPr>
          <w:rFonts w:ascii="Arial" w:hAnsi="Arial" w:cs="Arial"/>
          <w:b/>
        </w:rPr>
      </w:pPr>
      <w:r w:rsidRPr="005F54F9">
        <w:rPr>
          <w:rFonts w:ascii="Arial" w:hAnsi="Arial" w:cs="Arial"/>
          <w:b/>
        </w:rPr>
        <w:t>PROJECT SAVE LIVES</w:t>
      </w:r>
    </w:p>
    <w:p w14:paraId="4F187EB0" w14:textId="77777777" w:rsidR="00C8043C" w:rsidRPr="005F54F9" w:rsidRDefault="00C8043C" w:rsidP="00C8043C">
      <w:pPr>
        <w:spacing w:line="240" w:lineRule="auto"/>
        <w:contextualSpacing/>
        <w:jc w:val="center"/>
        <w:rPr>
          <w:rFonts w:ascii="Arial" w:hAnsi="Arial" w:cs="Arial"/>
          <w:b/>
        </w:rPr>
      </w:pPr>
      <w:r w:rsidRPr="005F54F9">
        <w:rPr>
          <w:rFonts w:ascii="Arial" w:hAnsi="Arial" w:cs="Arial"/>
          <w:b/>
        </w:rPr>
        <w:t>Overdose Death Analysis</w:t>
      </w:r>
    </w:p>
    <w:p w14:paraId="79C102D8" w14:textId="77777777" w:rsidR="00C8043C" w:rsidRPr="005F54F9" w:rsidRDefault="00C8043C" w:rsidP="00C8043C">
      <w:pPr>
        <w:spacing w:line="240" w:lineRule="auto"/>
        <w:contextualSpacing/>
        <w:jc w:val="both"/>
        <w:rPr>
          <w:rFonts w:ascii="Arial" w:hAnsi="Arial" w:cs="Arial"/>
          <w:sz w:val="22"/>
          <w:szCs w:val="22"/>
        </w:rPr>
      </w:pPr>
    </w:p>
    <w:p w14:paraId="7C9721A9" w14:textId="77777777" w:rsidR="009B1FBC" w:rsidRDefault="00C8043C" w:rsidP="000035A8">
      <w:pPr>
        <w:spacing w:line="240" w:lineRule="auto"/>
        <w:contextualSpacing/>
        <w:jc w:val="both"/>
        <w:rPr>
          <w:rFonts w:ascii="Arial" w:hAnsi="Arial" w:cs="Arial"/>
          <w:sz w:val="22"/>
          <w:szCs w:val="22"/>
        </w:rPr>
      </w:pPr>
      <w:r w:rsidRPr="005F54F9">
        <w:rPr>
          <w:rFonts w:ascii="Arial" w:hAnsi="Arial" w:cs="Arial"/>
          <w:sz w:val="22"/>
          <w:szCs w:val="22"/>
        </w:rPr>
        <w:t xml:space="preserve">The Project Save Lives (PSL) program is based on the concept of engaging opioid overdose victims while they are still recovering in the Emergency Department (ED) to consider options to immediately enter into substance use treatment.  </w:t>
      </w:r>
      <w:r w:rsidR="00E76FD2" w:rsidRPr="005F54F9">
        <w:rPr>
          <w:rFonts w:ascii="Arial" w:hAnsi="Arial" w:cs="Arial"/>
          <w:sz w:val="22"/>
          <w:szCs w:val="22"/>
        </w:rPr>
        <w:t>The services provided include stabilization and treatment for withdrawal, connection to a Peer Recovery Specialist, medication assisted treatment and seamless transfer to addiction treatment services.</w:t>
      </w:r>
      <w:r w:rsidR="000035A8">
        <w:rPr>
          <w:rFonts w:ascii="Arial" w:hAnsi="Arial" w:cs="Arial"/>
          <w:sz w:val="22"/>
          <w:szCs w:val="22"/>
        </w:rPr>
        <w:t xml:space="preserve"> </w:t>
      </w:r>
      <w:r w:rsidRPr="005F54F9">
        <w:rPr>
          <w:rFonts w:ascii="Arial" w:hAnsi="Arial" w:cs="Arial"/>
          <w:sz w:val="22"/>
          <w:szCs w:val="22"/>
        </w:rPr>
        <w:t xml:space="preserve">The PSL pilot was initiated in November, 2017 </w:t>
      </w:r>
      <w:r w:rsidR="00E76FD2" w:rsidRPr="005F54F9">
        <w:rPr>
          <w:rFonts w:ascii="Arial" w:hAnsi="Arial" w:cs="Arial"/>
          <w:sz w:val="22"/>
          <w:szCs w:val="22"/>
        </w:rPr>
        <w:t xml:space="preserve">to include an evaluation </w:t>
      </w:r>
      <w:r w:rsidR="005F54F9" w:rsidRPr="005F54F9">
        <w:rPr>
          <w:rFonts w:ascii="Arial" w:hAnsi="Arial" w:cs="Arial"/>
          <w:sz w:val="22"/>
          <w:szCs w:val="22"/>
        </w:rPr>
        <w:t>during the in</w:t>
      </w:r>
      <w:r w:rsidR="005F54F9">
        <w:rPr>
          <w:rFonts w:ascii="Arial" w:hAnsi="Arial" w:cs="Arial"/>
          <w:sz w:val="22"/>
          <w:szCs w:val="22"/>
        </w:rPr>
        <w:t>i</w:t>
      </w:r>
      <w:r w:rsidR="005F54F9" w:rsidRPr="005F54F9">
        <w:rPr>
          <w:rFonts w:ascii="Arial" w:hAnsi="Arial" w:cs="Arial"/>
          <w:sz w:val="22"/>
          <w:szCs w:val="22"/>
        </w:rPr>
        <w:t>t</w:t>
      </w:r>
      <w:r w:rsidR="005F54F9">
        <w:rPr>
          <w:rFonts w:ascii="Arial" w:hAnsi="Arial" w:cs="Arial"/>
          <w:sz w:val="22"/>
          <w:szCs w:val="22"/>
        </w:rPr>
        <w:t>i</w:t>
      </w:r>
      <w:r w:rsidR="005F54F9" w:rsidRPr="005F54F9">
        <w:rPr>
          <w:rFonts w:ascii="Arial" w:hAnsi="Arial" w:cs="Arial"/>
          <w:sz w:val="22"/>
          <w:szCs w:val="22"/>
        </w:rPr>
        <w:t xml:space="preserve">al </w:t>
      </w:r>
      <w:proofErr w:type="gramStart"/>
      <w:r w:rsidR="005F54F9" w:rsidRPr="005F54F9">
        <w:rPr>
          <w:rFonts w:ascii="Arial" w:hAnsi="Arial" w:cs="Arial"/>
          <w:sz w:val="22"/>
          <w:szCs w:val="22"/>
        </w:rPr>
        <w:t>12 month</w:t>
      </w:r>
      <w:proofErr w:type="gramEnd"/>
      <w:r w:rsidR="005F54F9" w:rsidRPr="005F54F9">
        <w:rPr>
          <w:rFonts w:ascii="Arial" w:hAnsi="Arial" w:cs="Arial"/>
          <w:sz w:val="22"/>
          <w:szCs w:val="22"/>
        </w:rPr>
        <w:t xml:space="preserve"> implement</w:t>
      </w:r>
      <w:r w:rsidR="005F54F9">
        <w:rPr>
          <w:rFonts w:ascii="Arial" w:hAnsi="Arial" w:cs="Arial"/>
          <w:sz w:val="22"/>
          <w:szCs w:val="22"/>
        </w:rPr>
        <w:t>at</w:t>
      </w:r>
      <w:r w:rsidR="005F54F9" w:rsidRPr="005F54F9">
        <w:rPr>
          <w:rFonts w:ascii="Arial" w:hAnsi="Arial" w:cs="Arial"/>
          <w:sz w:val="22"/>
          <w:szCs w:val="22"/>
        </w:rPr>
        <w:t xml:space="preserve">ion </w:t>
      </w:r>
      <w:r w:rsidR="005F54F9">
        <w:rPr>
          <w:rFonts w:ascii="Arial" w:hAnsi="Arial" w:cs="Arial"/>
          <w:sz w:val="22"/>
          <w:szCs w:val="22"/>
        </w:rPr>
        <w:t xml:space="preserve">timeframe </w:t>
      </w:r>
      <w:r w:rsidR="005F54F9" w:rsidRPr="005F54F9">
        <w:rPr>
          <w:rFonts w:ascii="Arial" w:hAnsi="Arial" w:cs="Arial"/>
          <w:sz w:val="22"/>
          <w:szCs w:val="22"/>
        </w:rPr>
        <w:t>(6 months pilot plus 6 months follow-up period).</w:t>
      </w:r>
      <w:r w:rsidR="009F26D2">
        <w:rPr>
          <w:rFonts w:ascii="Arial" w:hAnsi="Arial" w:cs="Arial"/>
          <w:sz w:val="22"/>
          <w:szCs w:val="22"/>
        </w:rPr>
        <w:t xml:space="preserve"> During the pilot period, there were only 2 known deaths</w:t>
      </w:r>
      <w:r w:rsidR="002D6DFD">
        <w:rPr>
          <w:rFonts w:ascii="Arial" w:hAnsi="Arial" w:cs="Arial"/>
          <w:sz w:val="22"/>
          <w:szCs w:val="22"/>
        </w:rPr>
        <w:t xml:space="preserve"> – an overdose death of someone who declined PSL services and a death due to a firearm of someone who accepted peer services.</w:t>
      </w:r>
    </w:p>
    <w:p w14:paraId="4CF340B6" w14:textId="77777777" w:rsidR="000035A8" w:rsidRDefault="000035A8" w:rsidP="000035A8">
      <w:pPr>
        <w:spacing w:line="240" w:lineRule="auto"/>
        <w:contextualSpacing/>
        <w:jc w:val="both"/>
        <w:rPr>
          <w:rFonts w:ascii="Arial" w:hAnsi="Arial" w:cs="Arial"/>
          <w:sz w:val="22"/>
          <w:szCs w:val="22"/>
        </w:rPr>
      </w:pPr>
    </w:p>
    <w:p w14:paraId="2B066ABF" w14:textId="77777777" w:rsidR="00D00B90" w:rsidRDefault="000035A8" w:rsidP="00DA2343">
      <w:pPr>
        <w:spacing w:line="240" w:lineRule="auto"/>
        <w:jc w:val="both"/>
        <w:rPr>
          <w:rFonts w:ascii="Arial" w:hAnsi="Arial" w:cs="Arial"/>
          <w:sz w:val="22"/>
          <w:szCs w:val="22"/>
        </w:rPr>
      </w:pPr>
      <w:r>
        <w:rPr>
          <w:rFonts w:ascii="Arial" w:hAnsi="Arial" w:cs="Arial"/>
          <w:sz w:val="22"/>
          <w:szCs w:val="22"/>
        </w:rPr>
        <w:t xml:space="preserve">In order to have a better understanding on how PSL has prevented additional overdose deaths of those who participated in the program, Councilman Salem has asked for an in-depth analysis of overdose deaths since the inception of the program. In order to do this analysis, a detailed review of the death records from the Florida Department of Health Vital Statistics Office was performed. </w:t>
      </w:r>
    </w:p>
    <w:p w14:paraId="3039F90E" w14:textId="77777777" w:rsidR="00A77B90" w:rsidRDefault="00D00B90" w:rsidP="00DA2343">
      <w:pPr>
        <w:spacing w:line="240" w:lineRule="auto"/>
        <w:jc w:val="both"/>
        <w:rPr>
          <w:rFonts w:ascii="Arial" w:hAnsi="Arial" w:cs="Arial"/>
          <w:sz w:val="22"/>
          <w:szCs w:val="22"/>
        </w:rPr>
      </w:pPr>
      <w:r>
        <w:rPr>
          <w:rFonts w:ascii="Arial" w:hAnsi="Arial" w:cs="Arial"/>
          <w:sz w:val="22"/>
          <w:szCs w:val="22"/>
        </w:rPr>
        <w:t>For Duval County, the total number of deaths of county residents during</w:t>
      </w:r>
      <w:r w:rsidRPr="00D00B90">
        <w:rPr>
          <w:rFonts w:ascii="Arial" w:hAnsi="Arial" w:cs="Arial"/>
          <w:sz w:val="22"/>
          <w:szCs w:val="22"/>
        </w:rPr>
        <w:t xml:space="preserve"> </w:t>
      </w:r>
      <w:r>
        <w:rPr>
          <w:rFonts w:ascii="Arial" w:hAnsi="Arial" w:cs="Arial"/>
          <w:sz w:val="22"/>
          <w:szCs w:val="22"/>
        </w:rPr>
        <w:t>November 2017 through November 2019 was 17,736 of which 643 were diagnosed as accidental drug poisoning (ICD-10 codes X41, X42 or X44)</w:t>
      </w:r>
      <w:r w:rsidR="00DA2343">
        <w:rPr>
          <w:rFonts w:ascii="Arial" w:hAnsi="Arial" w:cs="Arial"/>
          <w:sz w:val="22"/>
          <w:szCs w:val="22"/>
        </w:rPr>
        <w:t xml:space="preserve"> or 3.63% of total deaths.</w:t>
      </w:r>
    </w:p>
    <w:p w14:paraId="3B14557E" w14:textId="77777777" w:rsidR="000035A8" w:rsidRDefault="00DA2343" w:rsidP="00DA2343">
      <w:pPr>
        <w:spacing w:line="240" w:lineRule="auto"/>
        <w:jc w:val="both"/>
        <w:rPr>
          <w:rFonts w:ascii="Arial" w:hAnsi="Arial" w:cs="Arial"/>
          <w:sz w:val="22"/>
          <w:szCs w:val="22"/>
        </w:rPr>
      </w:pPr>
      <w:r>
        <w:rPr>
          <w:rFonts w:ascii="Arial" w:hAnsi="Arial" w:cs="Arial"/>
          <w:sz w:val="22"/>
          <w:szCs w:val="22"/>
        </w:rPr>
        <w:t>For the PSL program, d</w:t>
      </w:r>
      <w:r w:rsidR="000035A8">
        <w:rPr>
          <w:rFonts w:ascii="Arial" w:hAnsi="Arial" w:cs="Arial"/>
          <w:sz w:val="22"/>
          <w:szCs w:val="22"/>
        </w:rPr>
        <w:t xml:space="preserve">eath records from November 2017 through November 2019 </w:t>
      </w:r>
      <w:r>
        <w:rPr>
          <w:rFonts w:ascii="Arial" w:hAnsi="Arial" w:cs="Arial"/>
          <w:sz w:val="22"/>
          <w:szCs w:val="22"/>
        </w:rPr>
        <w:t xml:space="preserve">for the </w:t>
      </w:r>
      <w:proofErr w:type="gramStart"/>
      <w:r>
        <w:rPr>
          <w:rFonts w:ascii="Arial" w:hAnsi="Arial" w:cs="Arial"/>
          <w:sz w:val="22"/>
          <w:szCs w:val="22"/>
        </w:rPr>
        <w:t>5 county</w:t>
      </w:r>
      <w:proofErr w:type="gramEnd"/>
      <w:r>
        <w:rPr>
          <w:rFonts w:ascii="Arial" w:hAnsi="Arial" w:cs="Arial"/>
          <w:sz w:val="22"/>
          <w:szCs w:val="22"/>
        </w:rPr>
        <w:t xml:space="preserve"> area (Baker, Clay, Duval, Nassau and St. Johns) </w:t>
      </w:r>
      <w:r w:rsidR="000035A8">
        <w:rPr>
          <w:rFonts w:ascii="Arial" w:hAnsi="Arial" w:cs="Arial"/>
          <w:sz w:val="22"/>
          <w:szCs w:val="22"/>
        </w:rPr>
        <w:t>were reviewed and compared with the PS</w:t>
      </w:r>
      <w:r w:rsidR="00FF2F7B">
        <w:rPr>
          <w:rFonts w:ascii="Arial" w:hAnsi="Arial" w:cs="Arial"/>
          <w:sz w:val="22"/>
          <w:szCs w:val="22"/>
        </w:rPr>
        <w:t xml:space="preserve">L records of those who have been approached by the peer specialists in the participating </w:t>
      </w:r>
      <w:proofErr w:type="spellStart"/>
      <w:r w:rsidR="00FF2F7B">
        <w:rPr>
          <w:rFonts w:ascii="Arial" w:hAnsi="Arial" w:cs="Arial"/>
          <w:sz w:val="22"/>
          <w:szCs w:val="22"/>
        </w:rPr>
        <w:t>EDs.</w:t>
      </w:r>
      <w:proofErr w:type="spellEnd"/>
      <w:r w:rsidR="00FF2F7B">
        <w:rPr>
          <w:rFonts w:ascii="Arial" w:hAnsi="Arial" w:cs="Arial"/>
          <w:sz w:val="22"/>
          <w:szCs w:val="22"/>
        </w:rPr>
        <w:t xml:space="preserve"> This analysis included both those who declined services and those who accepted services.</w:t>
      </w:r>
      <w:r w:rsidR="00C76F9D">
        <w:rPr>
          <w:rFonts w:ascii="Arial" w:hAnsi="Arial" w:cs="Arial"/>
          <w:sz w:val="22"/>
          <w:szCs w:val="22"/>
        </w:rPr>
        <w:t xml:space="preserve"> Cause of death was examined including primary and secondary diagnoses, the number days the death occur</w:t>
      </w:r>
      <w:r w:rsidR="00E32F73">
        <w:rPr>
          <w:rFonts w:ascii="Arial" w:hAnsi="Arial" w:cs="Arial"/>
          <w:sz w:val="22"/>
          <w:szCs w:val="22"/>
        </w:rPr>
        <w:t>r</w:t>
      </w:r>
      <w:r w:rsidR="00C76F9D">
        <w:rPr>
          <w:rFonts w:ascii="Arial" w:hAnsi="Arial" w:cs="Arial"/>
          <w:sz w:val="22"/>
          <w:szCs w:val="22"/>
        </w:rPr>
        <w:t xml:space="preserve">ed after the initial overdose visit to the ED, and whether the </w:t>
      </w:r>
      <w:r w:rsidR="00E32F73">
        <w:rPr>
          <w:rFonts w:ascii="Arial" w:hAnsi="Arial" w:cs="Arial"/>
          <w:sz w:val="22"/>
          <w:szCs w:val="22"/>
        </w:rPr>
        <w:t xml:space="preserve">deceased participated in </w:t>
      </w:r>
      <w:r w:rsidR="00A77B90">
        <w:rPr>
          <w:rFonts w:ascii="Arial" w:hAnsi="Arial" w:cs="Arial"/>
          <w:sz w:val="22"/>
          <w:szCs w:val="22"/>
        </w:rPr>
        <w:t>substance use</w:t>
      </w:r>
      <w:r w:rsidR="00E32F73">
        <w:rPr>
          <w:rFonts w:ascii="Arial" w:hAnsi="Arial" w:cs="Arial"/>
          <w:sz w:val="22"/>
          <w:szCs w:val="22"/>
        </w:rPr>
        <w:t xml:space="preserve"> treatment. </w:t>
      </w:r>
    </w:p>
    <w:tbl>
      <w:tblPr>
        <w:tblStyle w:val="TableGrid"/>
        <w:tblW w:w="0" w:type="auto"/>
        <w:tblLook w:val="04A0" w:firstRow="1" w:lastRow="0" w:firstColumn="1" w:lastColumn="0" w:noHBand="0" w:noVBand="1"/>
      </w:tblPr>
      <w:tblGrid>
        <w:gridCol w:w="3325"/>
        <w:gridCol w:w="1349"/>
        <w:gridCol w:w="2338"/>
        <w:gridCol w:w="1713"/>
      </w:tblGrid>
      <w:tr w:rsidR="00C76F9D" w14:paraId="07C6595A" w14:textId="77777777" w:rsidTr="00C76F9D">
        <w:tc>
          <w:tcPr>
            <w:tcW w:w="8725" w:type="dxa"/>
            <w:gridSpan w:val="4"/>
            <w:shd w:val="clear" w:color="auto" w:fill="D9D9D9" w:themeFill="background1" w:themeFillShade="D9"/>
            <w:vAlign w:val="center"/>
          </w:tcPr>
          <w:p w14:paraId="1620A096" w14:textId="77777777" w:rsidR="00C76F9D" w:rsidRDefault="00C76F9D" w:rsidP="00C76F9D">
            <w:pPr>
              <w:jc w:val="center"/>
              <w:rPr>
                <w:rFonts w:ascii="Arial" w:hAnsi="Arial" w:cs="Arial"/>
                <w:sz w:val="22"/>
                <w:szCs w:val="22"/>
              </w:rPr>
            </w:pPr>
            <w:r>
              <w:rPr>
                <w:rFonts w:ascii="Arial" w:hAnsi="Arial" w:cs="Arial"/>
                <w:sz w:val="22"/>
                <w:szCs w:val="22"/>
              </w:rPr>
              <w:t xml:space="preserve">Suspected Overdose Deaths – </w:t>
            </w:r>
            <w:r w:rsidR="00471F5E">
              <w:rPr>
                <w:rFonts w:ascii="Arial" w:hAnsi="Arial" w:cs="Arial"/>
                <w:sz w:val="22"/>
                <w:szCs w:val="22"/>
              </w:rPr>
              <w:t>Post E</w:t>
            </w:r>
            <w:r>
              <w:rPr>
                <w:rFonts w:ascii="Arial" w:hAnsi="Arial" w:cs="Arial"/>
                <w:sz w:val="22"/>
                <w:szCs w:val="22"/>
              </w:rPr>
              <w:t>ncounter with PSL</w:t>
            </w:r>
          </w:p>
          <w:p w14:paraId="7CBD5DD9" w14:textId="77777777" w:rsidR="00C76F9D" w:rsidRDefault="00C76F9D" w:rsidP="00C76F9D">
            <w:pPr>
              <w:jc w:val="center"/>
              <w:rPr>
                <w:rFonts w:ascii="Arial" w:hAnsi="Arial" w:cs="Arial"/>
                <w:sz w:val="22"/>
                <w:szCs w:val="22"/>
              </w:rPr>
            </w:pPr>
            <w:r>
              <w:rPr>
                <w:rFonts w:ascii="Arial" w:hAnsi="Arial" w:cs="Arial"/>
                <w:sz w:val="22"/>
                <w:szCs w:val="22"/>
              </w:rPr>
              <w:t>Nov 2017-Nov 2019</w:t>
            </w:r>
          </w:p>
        </w:tc>
      </w:tr>
      <w:tr w:rsidR="00FF2F7B" w14:paraId="45F1F4F2" w14:textId="77777777" w:rsidTr="0005068A">
        <w:tc>
          <w:tcPr>
            <w:tcW w:w="3325" w:type="dxa"/>
          </w:tcPr>
          <w:p w14:paraId="5F5E8D90" w14:textId="77777777" w:rsidR="00FF2F7B" w:rsidRDefault="00FF2F7B" w:rsidP="00CA1138">
            <w:pPr>
              <w:rPr>
                <w:rFonts w:ascii="Arial" w:hAnsi="Arial" w:cs="Arial"/>
                <w:sz w:val="22"/>
                <w:szCs w:val="22"/>
              </w:rPr>
            </w:pPr>
          </w:p>
        </w:tc>
        <w:tc>
          <w:tcPr>
            <w:tcW w:w="1349" w:type="dxa"/>
          </w:tcPr>
          <w:p w14:paraId="4969AC2C" w14:textId="77777777" w:rsidR="00FF2F7B" w:rsidRDefault="00FF2F7B" w:rsidP="00FF2F7B">
            <w:pPr>
              <w:jc w:val="right"/>
              <w:rPr>
                <w:rFonts w:ascii="Arial" w:hAnsi="Arial" w:cs="Arial"/>
                <w:sz w:val="22"/>
                <w:szCs w:val="22"/>
              </w:rPr>
            </w:pPr>
            <w:r>
              <w:rPr>
                <w:rFonts w:ascii="Arial" w:hAnsi="Arial" w:cs="Arial"/>
                <w:sz w:val="22"/>
                <w:szCs w:val="22"/>
              </w:rPr>
              <w:t>Total seen</w:t>
            </w:r>
          </w:p>
        </w:tc>
        <w:tc>
          <w:tcPr>
            <w:tcW w:w="2338" w:type="dxa"/>
          </w:tcPr>
          <w:p w14:paraId="75FEEC2C" w14:textId="77777777" w:rsidR="00FF2F7B" w:rsidRDefault="00FF2F7B" w:rsidP="00FF2F7B">
            <w:pPr>
              <w:jc w:val="right"/>
              <w:rPr>
                <w:rFonts w:ascii="Arial" w:hAnsi="Arial" w:cs="Arial"/>
                <w:sz w:val="22"/>
                <w:szCs w:val="22"/>
              </w:rPr>
            </w:pPr>
            <w:r>
              <w:rPr>
                <w:rFonts w:ascii="Arial" w:hAnsi="Arial" w:cs="Arial"/>
                <w:sz w:val="22"/>
                <w:szCs w:val="22"/>
              </w:rPr>
              <w:t>Suspected overdoses</w:t>
            </w:r>
          </w:p>
        </w:tc>
        <w:tc>
          <w:tcPr>
            <w:tcW w:w="1713" w:type="dxa"/>
          </w:tcPr>
          <w:p w14:paraId="4FB74C2B" w14:textId="77777777" w:rsidR="00FF2F7B" w:rsidRDefault="00FF2F7B" w:rsidP="00FF2F7B">
            <w:pPr>
              <w:jc w:val="right"/>
              <w:rPr>
                <w:rFonts w:ascii="Arial" w:hAnsi="Arial" w:cs="Arial"/>
                <w:sz w:val="22"/>
                <w:szCs w:val="22"/>
              </w:rPr>
            </w:pPr>
            <w:r>
              <w:rPr>
                <w:rFonts w:ascii="Arial" w:hAnsi="Arial" w:cs="Arial"/>
                <w:sz w:val="22"/>
                <w:szCs w:val="22"/>
              </w:rPr>
              <w:t xml:space="preserve">Overdose Rate </w:t>
            </w:r>
          </w:p>
        </w:tc>
      </w:tr>
      <w:tr w:rsidR="00FF2F7B" w14:paraId="62AB5A4C" w14:textId="77777777" w:rsidTr="0005068A">
        <w:tc>
          <w:tcPr>
            <w:tcW w:w="3325" w:type="dxa"/>
          </w:tcPr>
          <w:p w14:paraId="6E4ED442" w14:textId="77777777" w:rsidR="00FF2F7B" w:rsidRDefault="00FF2F7B" w:rsidP="00CA1138">
            <w:pPr>
              <w:rPr>
                <w:rFonts w:ascii="Arial" w:hAnsi="Arial" w:cs="Arial"/>
                <w:sz w:val="22"/>
                <w:szCs w:val="22"/>
              </w:rPr>
            </w:pPr>
            <w:r>
              <w:rPr>
                <w:rFonts w:ascii="Arial" w:hAnsi="Arial" w:cs="Arial"/>
                <w:sz w:val="22"/>
                <w:szCs w:val="22"/>
              </w:rPr>
              <w:t>Patients approached in EDs</w:t>
            </w:r>
          </w:p>
        </w:tc>
        <w:tc>
          <w:tcPr>
            <w:tcW w:w="1349" w:type="dxa"/>
          </w:tcPr>
          <w:p w14:paraId="6131DAD7" w14:textId="77777777" w:rsidR="00FF2F7B" w:rsidRDefault="00FF2F7B" w:rsidP="00FF2F7B">
            <w:pPr>
              <w:jc w:val="right"/>
              <w:rPr>
                <w:rFonts w:ascii="Arial" w:hAnsi="Arial" w:cs="Arial"/>
                <w:sz w:val="22"/>
                <w:szCs w:val="22"/>
              </w:rPr>
            </w:pPr>
            <w:r>
              <w:rPr>
                <w:rFonts w:ascii="Arial" w:hAnsi="Arial" w:cs="Arial"/>
                <w:sz w:val="22"/>
                <w:szCs w:val="22"/>
              </w:rPr>
              <w:t>1,083</w:t>
            </w:r>
          </w:p>
        </w:tc>
        <w:tc>
          <w:tcPr>
            <w:tcW w:w="2338" w:type="dxa"/>
          </w:tcPr>
          <w:p w14:paraId="50A5557A" w14:textId="77777777" w:rsidR="00FF2F7B" w:rsidRDefault="00FF2F7B" w:rsidP="00FF2F7B">
            <w:pPr>
              <w:jc w:val="right"/>
              <w:rPr>
                <w:rFonts w:ascii="Arial" w:hAnsi="Arial" w:cs="Arial"/>
                <w:sz w:val="22"/>
                <w:szCs w:val="22"/>
              </w:rPr>
            </w:pPr>
            <w:r>
              <w:rPr>
                <w:rFonts w:ascii="Arial" w:hAnsi="Arial" w:cs="Arial"/>
                <w:sz w:val="22"/>
                <w:szCs w:val="22"/>
              </w:rPr>
              <w:t>23</w:t>
            </w:r>
          </w:p>
        </w:tc>
        <w:tc>
          <w:tcPr>
            <w:tcW w:w="1713" w:type="dxa"/>
          </w:tcPr>
          <w:p w14:paraId="71CD0E52" w14:textId="77777777" w:rsidR="00FF2F7B" w:rsidRDefault="00FF2F7B" w:rsidP="00FF2F7B">
            <w:pPr>
              <w:jc w:val="right"/>
              <w:rPr>
                <w:rFonts w:ascii="Arial" w:hAnsi="Arial" w:cs="Arial"/>
                <w:sz w:val="22"/>
                <w:szCs w:val="22"/>
              </w:rPr>
            </w:pPr>
            <w:r>
              <w:rPr>
                <w:rFonts w:ascii="Arial" w:hAnsi="Arial" w:cs="Arial"/>
                <w:sz w:val="22"/>
                <w:szCs w:val="22"/>
              </w:rPr>
              <w:t>2.12%</w:t>
            </w:r>
          </w:p>
        </w:tc>
      </w:tr>
      <w:tr w:rsidR="0005068A" w14:paraId="556B55A2" w14:textId="77777777" w:rsidTr="0005068A">
        <w:tc>
          <w:tcPr>
            <w:tcW w:w="3325" w:type="dxa"/>
          </w:tcPr>
          <w:p w14:paraId="62B3EED9" w14:textId="3E877B4F" w:rsidR="0005068A" w:rsidRDefault="0005068A" w:rsidP="0005068A">
            <w:pPr>
              <w:rPr>
                <w:rFonts w:ascii="Arial" w:hAnsi="Arial" w:cs="Arial"/>
                <w:sz w:val="22"/>
                <w:szCs w:val="22"/>
              </w:rPr>
            </w:pPr>
            <w:r>
              <w:rPr>
                <w:rFonts w:ascii="Arial" w:hAnsi="Arial" w:cs="Arial"/>
                <w:sz w:val="22"/>
                <w:szCs w:val="22"/>
              </w:rPr>
              <w:t>Declined PSL services</w:t>
            </w:r>
          </w:p>
        </w:tc>
        <w:tc>
          <w:tcPr>
            <w:tcW w:w="1349" w:type="dxa"/>
          </w:tcPr>
          <w:p w14:paraId="2BDEE17C" w14:textId="6E92574B" w:rsidR="0005068A" w:rsidRDefault="0005068A" w:rsidP="0005068A">
            <w:pPr>
              <w:jc w:val="right"/>
              <w:rPr>
                <w:rFonts w:ascii="Arial" w:hAnsi="Arial" w:cs="Arial"/>
                <w:sz w:val="22"/>
                <w:szCs w:val="22"/>
              </w:rPr>
            </w:pPr>
            <w:r>
              <w:rPr>
                <w:rFonts w:ascii="Arial" w:hAnsi="Arial" w:cs="Arial"/>
                <w:sz w:val="22"/>
                <w:szCs w:val="22"/>
              </w:rPr>
              <w:t>429</w:t>
            </w:r>
          </w:p>
        </w:tc>
        <w:tc>
          <w:tcPr>
            <w:tcW w:w="2338" w:type="dxa"/>
          </w:tcPr>
          <w:p w14:paraId="207D260B" w14:textId="7F2BDC7E" w:rsidR="0005068A" w:rsidRDefault="0005068A" w:rsidP="0005068A">
            <w:pPr>
              <w:jc w:val="right"/>
              <w:rPr>
                <w:rFonts w:ascii="Arial" w:hAnsi="Arial" w:cs="Arial"/>
                <w:sz w:val="22"/>
                <w:szCs w:val="22"/>
              </w:rPr>
            </w:pPr>
            <w:r>
              <w:rPr>
                <w:rFonts w:ascii="Arial" w:hAnsi="Arial" w:cs="Arial"/>
                <w:sz w:val="22"/>
                <w:szCs w:val="22"/>
              </w:rPr>
              <w:t>11</w:t>
            </w:r>
          </w:p>
        </w:tc>
        <w:tc>
          <w:tcPr>
            <w:tcW w:w="1713" w:type="dxa"/>
          </w:tcPr>
          <w:p w14:paraId="7C293F39" w14:textId="50B6BE8A" w:rsidR="0005068A" w:rsidRDefault="0005068A" w:rsidP="0005068A">
            <w:pPr>
              <w:jc w:val="right"/>
              <w:rPr>
                <w:rFonts w:ascii="Arial" w:hAnsi="Arial" w:cs="Arial"/>
                <w:sz w:val="22"/>
                <w:szCs w:val="22"/>
              </w:rPr>
            </w:pPr>
            <w:r>
              <w:rPr>
                <w:rFonts w:ascii="Arial" w:hAnsi="Arial" w:cs="Arial"/>
                <w:sz w:val="22"/>
                <w:szCs w:val="22"/>
              </w:rPr>
              <w:t>2.56%</w:t>
            </w:r>
          </w:p>
        </w:tc>
      </w:tr>
      <w:tr w:rsidR="0005068A" w14:paraId="5C97A373" w14:textId="77777777" w:rsidTr="0005068A">
        <w:tc>
          <w:tcPr>
            <w:tcW w:w="3325" w:type="dxa"/>
          </w:tcPr>
          <w:p w14:paraId="7E4D828E" w14:textId="12798A49" w:rsidR="0005068A" w:rsidRDefault="0005068A" w:rsidP="0005068A">
            <w:pPr>
              <w:rPr>
                <w:rFonts w:ascii="Arial" w:hAnsi="Arial" w:cs="Arial"/>
                <w:sz w:val="22"/>
                <w:szCs w:val="22"/>
              </w:rPr>
            </w:pPr>
            <w:r>
              <w:rPr>
                <w:rFonts w:ascii="Arial" w:hAnsi="Arial" w:cs="Arial"/>
                <w:sz w:val="22"/>
                <w:szCs w:val="22"/>
              </w:rPr>
              <w:t>Consented to PSL services</w:t>
            </w:r>
            <w:r>
              <w:rPr>
                <w:rFonts w:ascii="Arial" w:hAnsi="Arial" w:cs="Arial"/>
                <w:sz w:val="22"/>
                <w:szCs w:val="22"/>
              </w:rPr>
              <w:t xml:space="preserve">         </w:t>
            </w:r>
          </w:p>
          <w:p w14:paraId="2AC808F4" w14:textId="77777777" w:rsidR="0005068A" w:rsidRDefault="0005068A" w:rsidP="0005068A">
            <w:pPr>
              <w:rPr>
                <w:rFonts w:ascii="Arial" w:hAnsi="Arial" w:cs="Arial"/>
                <w:sz w:val="22"/>
                <w:szCs w:val="22"/>
              </w:rPr>
            </w:pPr>
            <w:r>
              <w:rPr>
                <w:rFonts w:ascii="Arial" w:hAnsi="Arial" w:cs="Arial"/>
                <w:sz w:val="22"/>
                <w:szCs w:val="22"/>
              </w:rPr>
              <w:t xml:space="preserve">         Peer Services Only</w:t>
            </w:r>
          </w:p>
          <w:p w14:paraId="061A9A6D" w14:textId="20C0A472" w:rsidR="0005068A" w:rsidRDefault="0005068A" w:rsidP="0005068A">
            <w:pPr>
              <w:rPr>
                <w:rFonts w:ascii="Arial" w:hAnsi="Arial" w:cs="Arial"/>
                <w:sz w:val="22"/>
                <w:szCs w:val="22"/>
              </w:rPr>
            </w:pPr>
            <w:r>
              <w:rPr>
                <w:rFonts w:ascii="Arial" w:hAnsi="Arial" w:cs="Arial"/>
                <w:sz w:val="22"/>
                <w:szCs w:val="22"/>
              </w:rPr>
              <w:t xml:space="preserve">         Residential or Outpatient</w:t>
            </w:r>
          </w:p>
        </w:tc>
        <w:tc>
          <w:tcPr>
            <w:tcW w:w="1349" w:type="dxa"/>
          </w:tcPr>
          <w:p w14:paraId="618A1A81" w14:textId="77777777" w:rsidR="0005068A" w:rsidRDefault="0005068A" w:rsidP="0005068A">
            <w:pPr>
              <w:jc w:val="right"/>
              <w:rPr>
                <w:rFonts w:ascii="Arial" w:hAnsi="Arial" w:cs="Arial"/>
                <w:sz w:val="22"/>
                <w:szCs w:val="22"/>
              </w:rPr>
            </w:pPr>
            <w:r>
              <w:rPr>
                <w:rFonts w:ascii="Arial" w:hAnsi="Arial" w:cs="Arial"/>
                <w:sz w:val="22"/>
                <w:szCs w:val="22"/>
              </w:rPr>
              <w:t>654</w:t>
            </w:r>
          </w:p>
          <w:p w14:paraId="0B65E294" w14:textId="77777777" w:rsidR="0005068A" w:rsidRDefault="0005068A" w:rsidP="0005068A">
            <w:pPr>
              <w:jc w:val="right"/>
              <w:rPr>
                <w:rFonts w:ascii="Arial" w:hAnsi="Arial" w:cs="Arial"/>
                <w:sz w:val="22"/>
                <w:szCs w:val="22"/>
              </w:rPr>
            </w:pPr>
            <w:r>
              <w:rPr>
                <w:rFonts w:ascii="Arial" w:hAnsi="Arial" w:cs="Arial"/>
                <w:sz w:val="22"/>
                <w:szCs w:val="22"/>
              </w:rPr>
              <w:t>402</w:t>
            </w:r>
          </w:p>
          <w:p w14:paraId="45A2F262" w14:textId="3F70B3A9" w:rsidR="0005068A" w:rsidRDefault="0005068A" w:rsidP="0005068A">
            <w:pPr>
              <w:jc w:val="right"/>
              <w:rPr>
                <w:rFonts w:ascii="Arial" w:hAnsi="Arial" w:cs="Arial"/>
                <w:sz w:val="22"/>
                <w:szCs w:val="22"/>
              </w:rPr>
            </w:pPr>
            <w:r>
              <w:rPr>
                <w:rFonts w:ascii="Arial" w:hAnsi="Arial" w:cs="Arial"/>
                <w:sz w:val="22"/>
                <w:szCs w:val="22"/>
              </w:rPr>
              <w:t>252</w:t>
            </w:r>
          </w:p>
        </w:tc>
        <w:tc>
          <w:tcPr>
            <w:tcW w:w="2338" w:type="dxa"/>
          </w:tcPr>
          <w:p w14:paraId="33A1AF55" w14:textId="77777777" w:rsidR="0005068A" w:rsidRDefault="0005068A" w:rsidP="0005068A">
            <w:pPr>
              <w:jc w:val="right"/>
              <w:rPr>
                <w:rFonts w:ascii="Arial" w:hAnsi="Arial" w:cs="Arial"/>
                <w:sz w:val="22"/>
                <w:szCs w:val="22"/>
              </w:rPr>
            </w:pPr>
            <w:r>
              <w:rPr>
                <w:rFonts w:ascii="Arial" w:hAnsi="Arial" w:cs="Arial"/>
                <w:sz w:val="22"/>
                <w:szCs w:val="22"/>
              </w:rPr>
              <w:t>12</w:t>
            </w:r>
          </w:p>
          <w:p w14:paraId="0917037E" w14:textId="77777777" w:rsidR="0005068A" w:rsidRDefault="0005068A" w:rsidP="0005068A">
            <w:pPr>
              <w:jc w:val="right"/>
              <w:rPr>
                <w:rFonts w:ascii="Arial" w:hAnsi="Arial" w:cs="Arial"/>
                <w:sz w:val="22"/>
                <w:szCs w:val="22"/>
              </w:rPr>
            </w:pPr>
            <w:r>
              <w:rPr>
                <w:rFonts w:ascii="Arial" w:hAnsi="Arial" w:cs="Arial"/>
                <w:sz w:val="22"/>
                <w:szCs w:val="22"/>
              </w:rPr>
              <w:t>9</w:t>
            </w:r>
          </w:p>
          <w:p w14:paraId="17396894" w14:textId="52EDBD8F" w:rsidR="0005068A" w:rsidRDefault="0005068A" w:rsidP="0005068A">
            <w:pPr>
              <w:jc w:val="right"/>
              <w:rPr>
                <w:rFonts w:ascii="Arial" w:hAnsi="Arial" w:cs="Arial"/>
                <w:sz w:val="22"/>
                <w:szCs w:val="22"/>
              </w:rPr>
            </w:pPr>
            <w:r>
              <w:rPr>
                <w:rFonts w:ascii="Arial" w:hAnsi="Arial" w:cs="Arial"/>
                <w:sz w:val="22"/>
                <w:szCs w:val="22"/>
              </w:rPr>
              <w:t>3</w:t>
            </w:r>
          </w:p>
        </w:tc>
        <w:tc>
          <w:tcPr>
            <w:tcW w:w="1713" w:type="dxa"/>
          </w:tcPr>
          <w:p w14:paraId="2FE597DE" w14:textId="77777777" w:rsidR="0005068A" w:rsidRDefault="0005068A" w:rsidP="0005068A">
            <w:pPr>
              <w:jc w:val="right"/>
              <w:rPr>
                <w:rFonts w:ascii="Arial" w:hAnsi="Arial" w:cs="Arial"/>
                <w:sz w:val="22"/>
                <w:szCs w:val="22"/>
              </w:rPr>
            </w:pPr>
            <w:r>
              <w:rPr>
                <w:rFonts w:ascii="Arial" w:hAnsi="Arial" w:cs="Arial"/>
                <w:sz w:val="22"/>
                <w:szCs w:val="22"/>
              </w:rPr>
              <w:t>1.83%</w:t>
            </w:r>
          </w:p>
          <w:p w14:paraId="7C89D19D" w14:textId="77777777" w:rsidR="0005068A" w:rsidRDefault="0005068A" w:rsidP="0005068A">
            <w:pPr>
              <w:jc w:val="right"/>
              <w:rPr>
                <w:rFonts w:ascii="Arial" w:hAnsi="Arial" w:cs="Arial"/>
                <w:sz w:val="22"/>
                <w:szCs w:val="22"/>
              </w:rPr>
            </w:pPr>
            <w:r>
              <w:rPr>
                <w:rFonts w:ascii="Arial" w:hAnsi="Arial" w:cs="Arial"/>
                <w:sz w:val="22"/>
                <w:szCs w:val="22"/>
              </w:rPr>
              <w:t>2.24%</w:t>
            </w:r>
          </w:p>
          <w:p w14:paraId="106DBA7A" w14:textId="3DEBCA29" w:rsidR="0005068A" w:rsidRDefault="0005068A" w:rsidP="0005068A">
            <w:pPr>
              <w:jc w:val="right"/>
              <w:rPr>
                <w:rFonts w:ascii="Arial" w:hAnsi="Arial" w:cs="Arial"/>
                <w:sz w:val="22"/>
                <w:szCs w:val="22"/>
              </w:rPr>
            </w:pPr>
            <w:r>
              <w:rPr>
                <w:rFonts w:ascii="Arial" w:hAnsi="Arial" w:cs="Arial"/>
                <w:sz w:val="22"/>
                <w:szCs w:val="22"/>
              </w:rPr>
              <w:t>1.19%</w:t>
            </w:r>
          </w:p>
        </w:tc>
      </w:tr>
    </w:tbl>
    <w:p w14:paraId="14CE24DD" w14:textId="77777777" w:rsidR="00471F5E" w:rsidRDefault="00471F5E" w:rsidP="00CA1138">
      <w:pPr>
        <w:spacing w:line="240" w:lineRule="auto"/>
        <w:rPr>
          <w:rFonts w:ascii="Arial" w:hAnsi="Arial" w:cs="Arial"/>
          <w:sz w:val="22"/>
          <w:szCs w:val="22"/>
        </w:rPr>
      </w:pPr>
      <w:bookmarkStart w:id="0" w:name="_GoBack"/>
      <w:bookmarkEnd w:id="0"/>
    </w:p>
    <w:p w14:paraId="4368FD97" w14:textId="77777777" w:rsidR="00E32F73" w:rsidRDefault="00E32F73" w:rsidP="00DA2343">
      <w:pPr>
        <w:spacing w:line="240" w:lineRule="auto"/>
        <w:jc w:val="both"/>
        <w:rPr>
          <w:rFonts w:ascii="Arial" w:hAnsi="Arial" w:cs="Arial"/>
          <w:sz w:val="22"/>
          <w:szCs w:val="22"/>
        </w:rPr>
      </w:pPr>
      <w:r>
        <w:rPr>
          <w:rFonts w:ascii="Arial" w:hAnsi="Arial" w:cs="Arial"/>
          <w:sz w:val="22"/>
          <w:szCs w:val="22"/>
        </w:rPr>
        <w:t xml:space="preserve">Fourteen of the deaths of all patients approached by PSL where clearly diagnosed as “accidental poisoning” </w:t>
      </w:r>
      <w:r w:rsidR="00DA2343">
        <w:rPr>
          <w:rFonts w:ascii="Arial" w:hAnsi="Arial" w:cs="Arial"/>
          <w:sz w:val="22"/>
          <w:szCs w:val="22"/>
        </w:rPr>
        <w:t xml:space="preserve">due to drugs </w:t>
      </w:r>
      <w:r>
        <w:rPr>
          <w:rFonts w:ascii="Arial" w:hAnsi="Arial" w:cs="Arial"/>
          <w:sz w:val="22"/>
          <w:szCs w:val="22"/>
        </w:rPr>
        <w:t>(ICD-10 codes X42 or X44). The remaining 9 nine deaths identified</w:t>
      </w:r>
      <w:r w:rsidR="00471F5E">
        <w:rPr>
          <w:rFonts w:ascii="Arial" w:hAnsi="Arial" w:cs="Arial"/>
          <w:sz w:val="22"/>
          <w:szCs w:val="22"/>
        </w:rPr>
        <w:t xml:space="preserve"> are likely overdose deaths since the majority of them had either respiratory or heart failure related diagnoses and many of them had died within 30 days of their initial ED overdose visit.</w:t>
      </w:r>
    </w:p>
    <w:p w14:paraId="2DD55263" w14:textId="77777777" w:rsidR="00471F5E" w:rsidRDefault="00471F5E" w:rsidP="00DA2343">
      <w:pPr>
        <w:spacing w:line="240" w:lineRule="auto"/>
        <w:jc w:val="both"/>
        <w:rPr>
          <w:rFonts w:ascii="Arial" w:hAnsi="Arial" w:cs="Arial"/>
          <w:sz w:val="22"/>
          <w:szCs w:val="22"/>
        </w:rPr>
      </w:pPr>
      <w:r>
        <w:rPr>
          <w:rFonts w:ascii="Arial" w:hAnsi="Arial" w:cs="Arial"/>
          <w:sz w:val="22"/>
          <w:szCs w:val="22"/>
        </w:rPr>
        <w:t>Of the 12 deaths who consented to PSL services, only 3 h</w:t>
      </w:r>
      <w:r w:rsidR="00A77B90">
        <w:rPr>
          <w:rFonts w:ascii="Arial" w:hAnsi="Arial" w:cs="Arial"/>
          <w:sz w:val="22"/>
          <w:szCs w:val="22"/>
        </w:rPr>
        <w:t>ad participated in substance use</w:t>
      </w:r>
      <w:r>
        <w:rPr>
          <w:rFonts w:ascii="Arial" w:hAnsi="Arial" w:cs="Arial"/>
          <w:sz w:val="22"/>
          <w:szCs w:val="22"/>
        </w:rPr>
        <w:t xml:space="preserve"> treatment and the remainder </w:t>
      </w:r>
      <w:r w:rsidR="00425396">
        <w:rPr>
          <w:rFonts w:ascii="Arial" w:hAnsi="Arial" w:cs="Arial"/>
          <w:sz w:val="22"/>
          <w:szCs w:val="22"/>
        </w:rPr>
        <w:t xml:space="preserve">had only received </w:t>
      </w:r>
      <w:r>
        <w:rPr>
          <w:rFonts w:ascii="Arial" w:hAnsi="Arial" w:cs="Arial"/>
          <w:sz w:val="22"/>
          <w:szCs w:val="22"/>
        </w:rPr>
        <w:t xml:space="preserve">peer follow-up services. </w:t>
      </w:r>
      <w:r w:rsidR="00425396">
        <w:rPr>
          <w:rFonts w:ascii="Arial" w:hAnsi="Arial" w:cs="Arial"/>
          <w:sz w:val="22"/>
          <w:szCs w:val="22"/>
        </w:rPr>
        <w:t>Two of these patients completed treatment within 90 days while the third patient left treatment after only 2 days in the program.</w:t>
      </w:r>
    </w:p>
    <w:p w14:paraId="6BC67335" w14:textId="77777777" w:rsidR="00CA1138" w:rsidRDefault="00CA1138" w:rsidP="00CA1138">
      <w:pPr>
        <w:spacing w:line="240" w:lineRule="auto"/>
        <w:rPr>
          <w:rFonts w:ascii="Arial" w:hAnsi="Arial" w:cs="Arial"/>
          <w:sz w:val="22"/>
          <w:szCs w:val="22"/>
        </w:rPr>
      </w:pPr>
    </w:p>
    <w:p w14:paraId="373EB0E4" w14:textId="77777777" w:rsidR="00CA1138" w:rsidRPr="005F54F9" w:rsidRDefault="00CA1138" w:rsidP="00CA1138">
      <w:pPr>
        <w:spacing w:line="240" w:lineRule="auto"/>
        <w:rPr>
          <w:rFonts w:ascii="Arial" w:hAnsi="Arial" w:cs="Arial"/>
          <w:sz w:val="22"/>
          <w:szCs w:val="22"/>
        </w:rPr>
      </w:pPr>
    </w:p>
    <w:sectPr w:rsidR="00CA1138" w:rsidRPr="005F54F9">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0809" w14:textId="77777777" w:rsidR="00D36BE5" w:rsidRDefault="00D36BE5" w:rsidP="00425396">
      <w:pPr>
        <w:spacing w:after="0" w:line="240" w:lineRule="auto"/>
      </w:pPr>
      <w:r>
        <w:separator/>
      </w:r>
    </w:p>
  </w:endnote>
  <w:endnote w:type="continuationSeparator" w:id="0">
    <w:p w14:paraId="2480662D" w14:textId="77777777" w:rsidR="00D36BE5" w:rsidRDefault="00D36BE5" w:rsidP="0042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A6BBF" w14:textId="77777777" w:rsidR="00425396" w:rsidRDefault="00425396">
    <w:pPr>
      <w:pStyle w:val="Footer"/>
    </w:pPr>
    <w:r>
      <w:rPr>
        <w:noProof/>
      </w:rPr>
      <mc:AlternateContent>
        <mc:Choice Requires="wpg">
          <w:drawing>
            <wp:anchor distT="0" distB="0" distL="114300" distR="114300" simplePos="0" relativeHeight="251659264" behindDoc="0" locked="0" layoutInCell="1" allowOverlap="1" wp14:anchorId="6DB01656" wp14:editId="1755C19A">
              <wp:simplePos x="0" y="0"/>
              <wp:positionH relativeFrom="margin">
                <wp:align>center</wp:align>
              </wp:positionH>
              <wp:positionV relativeFrom="bottomMargin">
                <wp:posOffset>304800</wp:posOffset>
              </wp:positionV>
              <wp:extent cx="740664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740664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59080" y="7620"/>
                          <a:ext cx="535305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F0FB33" w14:textId="5DDFD09A" w:rsidR="00425396" w:rsidRPr="00425396" w:rsidRDefault="00D36BE5">
                            <w:pPr>
                              <w:pStyle w:val="Footer"/>
                              <w:tabs>
                                <w:tab w:val="clear" w:pos="4680"/>
                                <w:tab w:val="clear" w:pos="9360"/>
                              </w:tabs>
                              <w:rPr>
                                <w:caps/>
                                <w:sz w:val="20"/>
                                <w:szCs w:val="20"/>
                              </w:rPr>
                            </w:pPr>
                            <w:sdt>
                              <w:sdtPr>
                                <w:rPr>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425396" w:rsidRPr="00425396">
                                  <w:rPr>
                                    <w:sz w:val="20"/>
                                    <w:szCs w:val="20"/>
                                  </w:rPr>
                                  <w:t>Submitted by Lori Bilello, PhD</w:t>
                                </w:r>
                              </w:sdtContent>
                            </w:sdt>
                            <w:r w:rsidR="00425396">
                              <w:rPr>
                                <w:caps/>
                                <w:color w:val="808080" w:themeColor="background1" w:themeShade="80"/>
                                <w:sz w:val="20"/>
                                <w:szCs w:val="20"/>
                              </w:rPr>
                              <w:t> | </w:t>
                            </w:r>
                            <w:sdt>
                              <w:sdtPr>
                                <w:rPr>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425396" w:rsidRPr="00425396">
                                  <w:rPr>
                                    <w:sz w:val="20"/>
                                    <w:szCs w:val="20"/>
                                  </w:rPr>
                                  <w:t>University of Florida</w:t>
                                </w:r>
                              </w:sdtContent>
                            </w:sdt>
                            <w:r w:rsidR="00425396" w:rsidRPr="00425396">
                              <w:rPr>
                                <w:sz w:val="20"/>
                                <w:szCs w:val="20"/>
                              </w:rPr>
                              <w:t xml:space="preserve">                                                                                               March </w:t>
                            </w:r>
                            <w:r w:rsidR="0005068A">
                              <w:rPr>
                                <w:sz w:val="20"/>
                                <w:szCs w:val="20"/>
                              </w:rPr>
                              <w:t>25</w:t>
                            </w:r>
                            <w:r w:rsidR="00425396" w:rsidRPr="00425396">
                              <w:rPr>
                                <w:sz w:val="20"/>
                                <w:szCs w:val="20"/>
                              </w:rPr>
                              <w:t>, 2020</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DB01656" id="Group 155" o:spid="_x0000_s1026" style="position:absolute;margin-left:0;margin-top:24pt;width:583.2pt;height:21.6pt;z-index:251659264;mso-position-horizontal:center;mso-position-horizontal-relative:margin;mso-position-vertical-relative:bottom-margin-area;mso-width-relative:margin"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">
              <v:rect id="Rectangle 156" o:spid="_x0000_s1027"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590;top:76;width:53531;height:2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" filled="f" stroked="f" strokeweight=".5pt">
                <v:textbox inset="0,,0">
                  <w:txbxContent>
                    <w:p w14:paraId="4FF0FB33" w14:textId="5DDFD09A" w:rsidR="00425396" w:rsidRPr="00425396" w:rsidRDefault="00D36BE5">
                      <w:pPr>
                        <w:pStyle w:val="Footer"/>
                        <w:tabs>
                          <w:tab w:val="clear" w:pos="4680"/>
                          <w:tab w:val="clear" w:pos="9360"/>
                        </w:tabs>
                        <w:rPr>
                          <w:caps/>
                          <w:sz w:val="20"/>
                          <w:szCs w:val="20"/>
                        </w:rPr>
                      </w:pPr>
                      <w:sdt>
                        <w:sdtPr>
                          <w:rPr>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r w:rsidR="00425396" w:rsidRPr="00425396">
                            <w:rPr>
                              <w:sz w:val="20"/>
                              <w:szCs w:val="20"/>
                            </w:rPr>
                            <w:t>Submitted by Lori Bilello, PhD</w:t>
                          </w:r>
                        </w:sdtContent>
                      </w:sdt>
                      <w:r w:rsidR="00425396">
                        <w:rPr>
                          <w:caps/>
                          <w:color w:val="808080" w:themeColor="background1" w:themeShade="80"/>
                          <w:sz w:val="20"/>
                          <w:szCs w:val="20"/>
                        </w:rPr>
                        <w:t> | </w:t>
                      </w:r>
                      <w:sdt>
                        <w:sdtPr>
                          <w:rPr>
                            <w:sz w:val="20"/>
                            <w:szCs w:val="20"/>
                          </w:rPr>
                          <w:alias w:val="School"/>
                          <w:tag w:val="School"/>
                          <w:id w:val="1660265181"/>
                          <w:dataBinding w:prefixMappings="xmlns:ns0='http://schemas.openxmlformats.org/officeDocument/2006/extended-properties' " w:xpath="/ns0:Properties[1]/ns0:Company[1]" w:storeItemID="{6668398D-A668-4E3E-A5EB-62B293D839F1}"/>
                          <w:text/>
                        </w:sdtPr>
                        <w:sdtEndPr/>
                        <w:sdtContent>
                          <w:r w:rsidR="00425396" w:rsidRPr="00425396">
                            <w:rPr>
                              <w:sz w:val="20"/>
                              <w:szCs w:val="20"/>
                            </w:rPr>
                            <w:t>University of Florida</w:t>
                          </w:r>
                        </w:sdtContent>
                      </w:sdt>
                      <w:r w:rsidR="00425396" w:rsidRPr="00425396">
                        <w:rPr>
                          <w:sz w:val="20"/>
                          <w:szCs w:val="20"/>
                        </w:rPr>
                        <w:t xml:space="preserve">                                                                                               March </w:t>
                      </w:r>
                      <w:r w:rsidR="0005068A">
                        <w:rPr>
                          <w:sz w:val="20"/>
                          <w:szCs w:val="20"/>
                        </w:rPr>
                        <w:t>25</w:t>
                      </w:r>
                      <w:r w:rsidR="00425396" w:rsidRPr="00425396">
                        <w:rPr>
                          <w:sz w:val="20"/>
                          <w:szCs w:val="20"/>
                        </w:rPr>
                        <w:t>, 2020</w:t>
                      </w:r>
                    </w:p>
                  </w:txbxContent>
                </v:textbox>
              </v:shape>
              <w10:wrap anchorx="margin"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E853F" w14:textId="77777777" w:rsidR="00D36BE5" w:rsidRDefault="00D36BE5" w:rsidP="00425396">
      <w:pPr>
        <w:spacing w:after="0" w:line="240" w:lineRule="auto"/>
      </w:pPr>
      <w:r>
        <w:separator/>
      </w:r>
    </w:p>
  </w:footnote>
  <w:footnote w:type="continuationSeparator" w:id="0">
    <w:p w14:paraId="56B8DAC5" w14:textId="77777777" w:rsidR="00D36BE5" w:rsidRDefault="00D36BE5" w:rsidP="004253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43C"/>
    <w:rsid w:val="000035A8"/>
    <w:rsid w:val="0005068A"/>
    <w:rsid w:val="0019602E"/>
    <w:rsid w:val="00275D24"/>
    <w:rsid w:val="00293888"/>
    <w:rsid w:val="002D6DFD"/>
    <w:rsid w:val="00425396"/>
    <w:rsid w:val="00471F5E"/>
    <w:rsid w:val="00552EC2"/>
    <w:rsid w:val="005F54F9"/>
    <w:rsid w:val="007721D9"/>
    <w:rsid w:val="007B0AEB"/>
    <w:rsid w:val="00803BF2"/>
    <w:rsid w:val="009F26D2"/>
    <w:rsid w:val="00A17440"/>
    <w:rsid w:val="00A77B90"/>
    <w:rsid w:val="00C76F9D"/>
    <w:rsid w:val="00C8043C"/>
    <w:rsid w:val="00CA1138"/>
    <w:rsid w:val="00D00B90"/>
    <w:rsid w:val="00D36BE5"/>
    <w:rsid w:val="00DA2343"/>
    <w:rsid w:val="00E32F73"/>
    <w:rsid w:val="00E76FD2"/>
    <w:rsid w:val="00FF2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8DEFE"/>
  <w15:chartTrackingRefBased/>
  <w15:docId w15:val="{46C3B0F1-E2FF-4768-94DF-421D66F4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043C"/>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2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5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53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25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39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77B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7B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Florida</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Submitted by Lori Bilello, PhD</dc:creator>
  <cp:keywords/>
  <dc:description/>
  <cp:lastModifiedBy>Lori Bilello</cp:lastModifiedBy>
  <cp:revision>3</cp:revision>
  <cp:lastPrinted>2020-03-05T17:51:00Z</cp:lastPrinted>
  <dcterms:created xsi:type="dcterms:W3CDTF">2020-04-06T15:32:00Z</dcterms:created>
  <dcterms:modified xsi:type="dcterms:W3CDTF">2020-04-06T16:23:00Z</dcterms:modified>
</cp:coreProperties>
</file>