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70" w:rsidRDefault="00873D7B" w:rsidP="004A6E78">
      <w:pPr>
        <w:jc w:val="center"/>
        <w:rPr>
          <w:rFonts w:ascii="Arial" w:eastAsia="Times New Roman" w:hAnsi="Arial" w:cs="Arial"/>
          <w:b/>
          <w:bCs/>
          <w:sz w:val="28"/>
          <w:szCs w:val="28"/>
        </w:rPr>
      </w:pPr>
      <w:r>
        <w:rPr>
          <w:rFonts w:ascii="Arial" w:eastAsia="Times New Roman" w:hAnsi="Arial" w:cs="Arial"/>
          <w:b/>
          <w:bCs/>
          <w:sz w:val="28"/>
          <w:szCs w:val="28"/>
        </w:rPr>
        <w:t>Proposed Subc</w:t>
      </w:r>
      <w:r w:rsidR="00393570">
        <w:rPr>
          <w:rFonts w:ascii="Arial" w:eastAsia="Times New Roman" w:hAnsi="Arial" w:cs="Arial"/>
          <w:b/>
          <w:bCs/>
          <w:sz w:val="28"/>
          <w:szCs w:val="28"/>
        </w:rPr>
        <w:t xml:space="preserve">ommittees </w:t>
      </w:r>
    </w:p>
    <w:p w:rsidR="00496F7F" w:rsidRDefault="00393570" w:rsidP="004A6E78">
      <w:pPr>
        <w:jc w:val="center"/>
        <w:rPr>
          <w:rFonts w:ascii="Arial" w:eastAsia="Times New Roman" w:hAnsi="Arial" w:cs="Arial"/>
          <w:b/>
          <w:bCs/>
          <w:sz w:val="28"/>
          <w:szCs w:val="28"/>
        </w:rPr>
      </w:pPr>
      <w:r>
        <w:rPr>
          <w:rFonts w:ascii="Arial" w:eastAsia="Times New Roman" w:hAnsi="Arial" w:cs="Arial"/>
          <w:b/>
          <w:bCs/>
          <w:sz w:val="28"/>
          <w:szCs w:val="28"/>
        </w:rPr>
        <w:t xml:space="preserve">For Special Committee on </w:t>
      </w:r>
      <w:r w:rsidR="004A6E78" w:rsidRPr="004A6E78">
        <w:rPr>
          <w:rFonts w:ascii="Arial" w:eastAsia="Times New Roman" w:hAnsi="Arial" w:cs="Arial"/>
          <w:b/>
          <w:bCs/>
          <w:sz w:val="28"/>
          <w:szCs w:val="28"/>
        </w:rPr>
        <w:t>Resiliency</w:t>
      </w:r>
    </w:p>
    <w:p w:rsidR="00393570" w:rsidRPr="004A6E78" w:rsidRDefault="00393570" w:rsidP="004A6E78">
      <w:pPr>
        <w:jc w:val="center"/>
        <w:rPr>
          <w:rFonts w:ascii="Arial" w:eastAsia="Times New Roman" w:hAnsi="Arial" w:cs="Arial"/>
          <w:b/>
          <w:bCs/>
          <w:sz w:val="28"/>
          <w:szCs w:val="28"/>
        </w:rPr>
      </w:pPr>
      <w:bookmarkStart w:id="0" w:name="_GoBack"/>
      <w:bookmarkEnd w:id="0"/>
    </w:p>
    <w:p w:rsidR="00496F7F" w:rsidRPr="00496F7F" w:rsidRDefault="00496F7F" w:rsidP="00496F7F">
      <w:pPr>
        <w:ind w:left="720"/>
        <w:rPr>
          <w:rFonts w:eastAsia="Times New Roman"/>
        </w:rPr>
      </w:pPr>
    </w:p>
    <w:p w:rsidR="00496F7F" w:rsidRPr="004A6E78" w:rsidRDefault="00496F7F" w:rsidP="00496F7F">
      <w:pPr>
        <w:numPr>
          <w:ilvl w:val="0"/>
          <w:numId w:val="1"/>
        </w:numPr>
        <w:rPr>
          <w:rFonts w:ascii="Arial" w:eastAsia="Times New Roman" w:hAnsi="Arial" w:cs="Arial"/>
          <w:sz w:val="24"/>
          <w:szCs w:val="24"/>
        </w:rPr>
      </w:pPr>
      <w:r w:rsidRPr="004A6E78">
        <w:rPr>
          <w:rFonts w:ascii="Arial" w:eastAsia="Times New Roman" w:hAnsi="Arial" w:cs="Arial"/>
          <w:b/>
          <w:bCs/>
          <w:sz w:val="24"/>
          <w:szCs w:val="24"/>
        </w:rPr>
        <w:t>Environmental Planning</w:t>
      </w:r>
      <w:r w:rsidRPr="004A6E78">
        <w:rPr>
          <w:rFonts w:ascii="Arial" w:eastAsia="Times New Roman" w:hAnsi="Arial" w:cs="Arial"/>
          <w:sz w:val="24"/>
          <w:szCs w:val="24"/>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4A6E78">
        <w:rPr>
          <w:rFonts w:ascii="Arial" w:eastAsia="Times New Roman" w:hAnsi="Arial" w:cs="Arial"/>
          <w:sz w:val="24"/>
          <w:szCs w:val="24"/>
        </w:rPr>
        <w:t>stormwater</w:t>
      </w:r>
      <w:proofErr w:type="spellEnd"/>
      <w:r w:rsidRPr="004A6E78">
        <w:rPr>
          <w:rFonts w:ascii="Arial" w:eastAsia="Times New Roman" w:hAnsi="Arial" w:cs="Arial"/>
          <w:sz w:val="24"/>
          <w:szCs w:val="24"/>
        </w:rPr>
        <w:t xml:space="preserve"> resilience, and other related topics.</w:t>
      </w:r>
    </w:p>
    <w:p w:rsidR="00496F7F" w:rsidRPr="004A6E78" w:rsidRDefault="00496F7F" w:rsidP="00496F7F">
      <w:pPr>
        <w:rPr>
          <w:rFonts w:ascii="Arial" w:hAnsi="Arial" w:cs="Arial"/>
          <w:sz w:val="24"/>
          <w:szCs w:val="24"/>
        </w:rPr>
      </w:pPr>
      <w:r w:rsidRPr="004A6E78">
        <w:rPr>
          <w:rFonts w:ascii="Arial" w:hAnsi="Arial" w:cs="Arial"/>
          <w:sz w:val="24"/>
          <w:szCs w:val="24"/>
        </w:rPr>
        <w:t> </w:t>
      </w:r>
    </w:p>
    <w:p w:rsidR="00496F7F" w:rsidRPr="004A6E78" w:rsidRDefault="00496F7F" w:rsidP="00496F7F">
      <w:pPr>
        <w:numPr>
          <w:ilvl w:val="0"/>
          <w:numId w:val="2"/>
        </w:numPr>
        <w:rPr>
          <w:rFonts w:ascii="Arial" w:eastAsia="Times New Roman" w:hAnsi="Arial" w:cs="Arial"/>
          <w:sz w:val="24"/>
          <w:szCs w:val="24"/>
        </w:rPr>
      </w:pPr>
      <w:r w:rsidRPr="004A6E78">
        <w:rPr>
          <w:rFonts w:ascii="Arial" w:eastAsia="Times New Roman" w:hAnsi="Arial" w:cs="Arial"/>
          <w:b/>
          <w:bCs/>
          <w:sz w:val="24"/>
          <w:szCs w:val="24"/>
        </w:rPr>
        <w:t>Infrastructure, and Continuity of Operations for Essential Services</w:t>
      </w:r>
      <w:r w:rsidRPr="004A6E78">
        <w:rPr>
          <w:rFonts w:ascii="Arial" w:eastAsia="Times New Roman" w:hAnsi="Arial" w:cs="Arial"/>
          <w:sz w:val="24"/>
          <w:szCs w:val="24"/>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496F7F" w:rsidRPr="004A6E78" w:rsidRDefault="00496F7F" w:rsidP="00496F7F">
      <w:pPr>
        <w:rPr>
          <w:rFonts w:ascii="Arial" w:hAnsi="Arial" w:cs="Arial"/>
          <w:sz w:val="24"/>
          <w:szCs w:val="24"/>
        </w:rPr>
      </w:pPr>
      <w:r w:rsidRPr="004A6E78">
        <w:rPr>
          <w:rFonts w:ascii="Arial" w:hAnsi="Arial" w:cs="Arial"/>
          <w:b/>
          <w:bCs/>
          <w:sz w:val="24"/>
          <w:szCs w:val="24"/>
        </w:rPr>
        <w:t> </w:t>
      </w:r>
    </w:p>
    <w:p w:rsidR="00496F7F" w:rsidRPr="004A6E78" w:rsidRDefault="00496F7F" w:rsidP="00496F7F">
      <w:pPr>
        <w:numPr>
          <w:ilvl w:val="0"/>
          <w:numId w:val="3"/>
        </w:numPr>
        <w:rPr>
          <w:rFonts w:ascii="Arial" w:eastAsia="Times New Roman" w:hAnsi="Arial" w:cs="Arial"/>
          <w:sz w:val="24"/>
          <w:szCs w:val="24"/>
        </w:rPr>
      </w:pPr>
      <w:r w:rsidRPr="004A6E78">
        <w:rPr>
          <w:rFonts w:ascii="Arial" w:eastAsia="Times New Roman" w:hAnsi="Arial" w:cs="Arial"/>
          <w:b/>
          <w:bCs/>
          <w:sz w:val="24"/>
          <w:szCs w:val="24"/>
        </w:rPr>
        <w:t>Education, Protection of Local Neighborhoods, and Community Outreach</w:t>
      </w:r>
      <w:r w:rsidRPr="004A6E78">
        <w:rPr>
          <w:rFonts w:ascii="Arial" w:eastAsia="Times New Roman" w:hAnsi="Arial" w:cs="Arial"/>
          <w:sz w:val="24"/>
          <w:szCs w:val="24"/>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496F7F" w:rsidRPr="00496F7F" w:rsidRDefault="00496F7F" w:rsidP="00496F7F">
      <w:pPr>
        <w:rPr>
          <w:rFonts w:asciiTheme="minorHAnsi" w:hAnsiTheme="minorHAnsi" w:cstheme="minorBidi"/>
        </w:rPr>
      </w:pPr>
    </w:p>
    <w:p w:rsidR="00394CAD" w:rsidRPr="00496F7F" w:rsidRDefault="00394CAD"/>
    <w:sectPr w:rsidR="00394CAD" w:rsidRPr="00496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522A"/>
    <w:multiLevelType w:val="multilevel"/>
    <w:tmpl w:val="A36C1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7F"/>
    <w:rsid w:val="00393570"/>
    <w:rsid w:val="00394CAD"/>
    <w:rsid w:val="004653B7"/>
    <w:rsid w:val="00496F7F"/>
    <w:rsid w:val="004A6E78"/>
    <w:rsid w:val="00683B3D"/>
    <w:rsid w:val="00873D7B"/>
    <w:rsid w:val="00B5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Grandin, Susan</dc:creator>
  <cp:keywords/>
  <dc:description/>
  <cp:lastModifiedBy>Grandin, Susan</cp:lastModifiedBy>
  <cp:revision>5</cp:revision>
  <dcterms:created xsi:type="dcterms:W3CDTF">2020-05-27T19:24:00Z</dcterms:created>
  <dcterms:modified xsi:type="dcterms:W3CDTF">2020-05-27T19:32:00Z</dcterms:modified>
</cp:coreProperties>
</file>