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38" w:rsidRDefault="00A30A38" w:rsidP="00272279">
      <w:pPr>
        <w:rPr>
          <w:b/>
        </w:rPr>
      </w:pPr>
    </w:p>
    <w:p w:rsidR="004577E8" w:rsidRPr="00CD084B" w:rsidRDefault="00272279" w:rsidP="00272279">
      <w:pPr>
        <w:rPr>
          <w:b/>
        </w:rPr>
      </w:pPr>
      <w:r>
        <w:rPr>
          <w:b/>
        </w:rPr>
        <w:t>Items/</w:t>
      </w:r>
      <w:r w:rsidR="00D93545">
        <w:rPr>
          <w:b/>
        </w:rPr>
        <w:t>Assumptions Reviewed</w:t>
      </w:r>
    </w:p>
    <w:p w:rsidR="00BC31D4" w:rsidRPr="00CD084B" w:rsidRDefault="00BC31D4" w:rsidP="00272279">
      <w:pPr>
        <w:pStyle w:val="ListParagraph"/>
        <w:numPr>
          <w:ilvl w:val="0"/>
          <w:numId w:val="2"/>
        </w:numPr>
      </w:pPr>
      <w:r w:rsidRPr="00CD084B">
        <w:t xml:space="preserve">We have performed multiple reviews of the </w:t>
      </w:r>
      <w:r w:rsidR="00FF59B2">
        <w:t xml:space="preserve">14 pieces of </w:t>
      </w:r>
      <w:r w:rsidRPr="00CD084B">
        <w:t xml:space="preserve">legislation which have resulted in </w:t>
      </w:r>
      <w:r w:rsidR="004F5A6A">
        <w:t>the amendments for 2017-257 &amp;</w:t>
      </w:r>
      <w:r>
        <w:t xml:space="preserve"> 259 and the substitute for 2017-258</w:t>
      </w:r>
      <w:r w:rsidRPr="00CD084B">
        <w:t>.</w:t>
      </w:r>
    </w:p>
    <w:p w:rsidR="00BC31D4" w:rsidRDefault="00272279" w:rsidP="00272279">
      <w:pPr>
        <w:pStyle w:val="ListParagraph"/>
        <w:numPr>
          <w:ilvl w:val="0"/>
          <w:numId w:val="2"/>
        </w:numPr>
      </w:pPr>
      <w:r>
        <w:t xml:space="preserve">Projected Cost of </w:t>
      </w:r>
      <w:r w:rsidR="00BC31D4">
        <w:t xml:space="preserve">Salary Increases – appear </w:t>
      </w:r>
      <w:r>
        <w:t>accurate</w:t>
      </w:r>
    </w:p>
    <w:p w:rsidR="00BC31D4" w:rsidRDefault="00BC31D4" w:rsidP="00272279">
      <w:pPr>
        <w:pStyle w:val="ListParagraph"/>
        <w:numPr>
          <w:ilvl w:val="0"/>
          <w:numId w:val="2"/>
        </w:numPr>
      </w:pPr>
      <w:r>
        <w:t xml:space="preserve">Payroll Growth </w:t>
      </w:r>
      <w:r w:rsidR="00272279">
        <w:t xml:space="preserve">Assumptions </w:t>
      </w:r>
      <w:r>
        <w:t xml:space="preserve">– </w:t>
      </w:r>
      <w:r w:rsidR="005D2BD3">
        <w:t xml:space="preserve">in accordance with </w:t>
      </w:r>
      <w:r>
        <w:t>State law</w:t>
      </w:r>
    </w:p>
    <w:p w:rsidR="00B661FA" w:rsidRDefault="00272279" w:rsidP="00272279">
      <w:pPr>
        <w:pStyle w:val="ListParagraph"/>
        <w:numPr>
          <w:ilvl w:val="0"/>
          <w:numId w:val="2"/>
        </w:numPr>
      </w:pPr>
      <w:r>
        <w:t>Mortality Table</w:t>
      </w:r>
      <w:r w:rsidR="00B661FA">
        <w:t xml:space="preserve"> </w:t>
      </w:r>
      <w:r>
        <w:t xml:space="preserve">Assumptions </w:t>
      </w:r>
      <w:r w:rsidR="00B661FA">
        <w:t xml:space="preserve">– </w:t>
      </w:r>
      <w:r w:rsidR="0093439C">
        <w:t>in accordance</w:t>
      </w:r>
      <w:r w:rsidR="00B661FA">
        <w:t xml:space="preserve"> </w:t>
      </w:r>
      <w:r w:rsidR="004E339A">
        <w:t xml:space="preserve">with </w:t>
      </w:r>
      <w:r w:rsidR="00B661FA">
        <w:t>State law</w:t>
      </w:r>
      <w:r w:rsidR="00B661FA">
        <w:t xml:space="preserve"> </w:t>
      </w:r>
    </w:p>
    <w:p w:rsidR="00BC31D4" w:rsidRDefault="00BC31D4" w:rsidP="00272279">
      <w:pPr>
        <w:pStyle w:val="ListParagraph"/>
        <w:numPr>
          <w:ilvl w:val="0"/>
          <w:numId w:val="2"/>
        </w:numPr>
      </w:pPr>
      <w:r>
        <w:t xml:space="preserve">Sales Tax </w:t>
      </w:r>
      <w:r w:rsidR="000C20A1">
        <w:t>Growth Rate</w:t>
      </w:r>
      <w:r>
        <w:t xml:space="preserve"> – appears reasonable based on growth of One-half Cent Transportation Sales Surtax dating back to </w:t>
      </w:r>
      <w:r w:rsidR="00272279">
        <w:t>FY 1990/</w:t>
      </w:r>
      <w:r>
        <w:t>1991</w:t>
      </w:r>
      <w:r w:rsidR="00272279">
        <w:t xml:space="preserve"> </w:t>
      </w:r>
      <w:r w:rsidR="007B13A2">
        <w:t>(</w:t>
      </w:r>
      <w:r w:rsidR="00272279">
        <w:t xml:space="preserve">effective </w:t>
      </w:r>
      <w:r w:rsidR="007B13A2">
        <w:t>4.15% based on cash collections)</w:t>
      </w:r>
    </w:p>
    <w:p w:rsidR="000B6A90" w:rsidRDefault="000B6A90" w:rsidP="00272279">
      <w:pPr>
        <w:pStyle w:val="ListParagraph"/>
        <w:numPr>
          <w:ilvl w:val="0"/>
          <w:numId w:val="2"/>
        </w:numPr>
      </w:pPr>
      <w:r>
        <w:t>General Fund</w:t>
      </w:r>
      <w:r w:rsidR="00272279">
        <w:t xml:space="preserve">/General Services District </w:t>
      </w:r>
      <w:r>
        <w:t xml:space="preserve">Revenue Growth – appears reasonable based on growth of GF/GSD revenues dating back to </w:t>
      </w:r>
      <w:r w:rsidR="005D2BD3">
        <w:t xml:space="preserve">FY </w:t>
      </w:r>
      <w:r>
        <w:t>1999</w:t>
      </w:r>
      <w:r w:rsidR="005D2BD3">
        <w:t>/2000</w:t>
      </w:r>
      <w:r w:rsidR="000C20A1">
        <w:t xml:space="preserve"> (</w:t>
      </w:r>
      <w:r w:rsidR="0097439E">
        <w:t>average</w:t>
      </w:r>
      <w:r w:rsidR="00106778">
        <w:t xml:space="preserve"> </w:t>
      </w:r>
      <w:r w:rsidR="0097439E">
        <w:t xml:space="preserve">annual growth rate of </w:t>
      </w:r>
      <w:r w:rsidR="00106778">
        <w:t>3.</w:t>
      </w:r>
      <w:r w:rsidR="0097439E">
        <w:t>28</w:t>
      </w:r>
      <w:r w:rsidR="00106778">
        <w:t xml:space="preserve">% based on </w:t>
      </w:r>
      <w:r w:rsidR="0097439E">
        <w:t>actual revenues less transfers from fund balance</w:t>
      </w:r>
      <w:r w:rsidR="00106778">
        <w:t>)</w:t>
      </w:r>
    </w:p>
    <w:p w:rsidR="00E8029A" w:rsidRPr="00CD084B" w:rsidRDefault="005F4199" w:rsidP="00272279">
      <w:pPr>
        <w:pStyle w:val="ListParagraph"/>
        <w:numPr>
          <w:ilvl w:val="0"/>
          <w:numId w:val="2"/>
        </w:numPr>
      </w:pPr>
      <w:r>
        <w:t>Actuarial Impact Statements</w:t>
      </w:r>
      <w:r w:rsidR="006F0512">
        <w:t xml:space="preserve"> </w:t>
      </w:r>
      <w:r w:rsidR="00272279">
        <w:t xml:space="preserve">Assumptions </w:t>
      </w:r>
      <w:r>
        <w:t xml:space="preserve">– appear </w:t>
      </w:r>
      <w:r w:rsidR="00272279">
        <w:t>reasonable with the exception of t</w:t>
      </w:r>
      <w:r w:rsidR="00F93DFB">
        <w:t>h</w:t>
      </w:r>
      <w:r w:rsidR="00D93545">
        <w:t xml:space="preserve">e beginning sales tax value utilized by the </w:t>
      </w:r>
      <w:proofErr w:type="spellStart"/>
      <w:r w:rsidR="00D93545">
        <w:t>PFPF</w:t>
      </w:r>
      <w:proofErr w:type="spellEnd"/>
      <w:r w:rsidR="00D93545">
        <w:t xml:space="preserve"> actuary </w:t>
      </w:r>
      <w:proofErr w:type="gramStart"/>
      <w:r w:rsidR="00D93545">
        <w:t>which</w:t>
      </w:r>
      <w:proofErr w:type="gramEnd"/>
      <w:r w:rsidR="00F93DFB">
        <w:t xml:space="preserve"> did not account for the portion of the surtax that will no longer go to the Beaches and Baldwin. This will reduce the cost to the City and should be adjusted </w:t>
      </w:r>
      <w:r w:rsidR="00272279">
        <w:t xml:space="preserve">when the </w:t>
      </w:r>
      <w:r w:rsidR="00F93DFB">
        <w:t>actuarial</w:t>
      </w:r>
      <w:r w:rsidR="00E8029A" w:rsidRPr="00CD084B">
        <w:t xml:space="preserve"> </w:t>
      </w:r>
      <w:r w:rsidR="00D11927">
        <w:t xml:space="preserve">valuation report </w:t>
      </w:r>
      <w:r w:rsidR="00272279">
        <w:t>is completed</w:t>
      </w:r>
      <w:r w:rsidR="00E8029A" w:rsidRPr="00CD084B">
        <w:t xml:space="preserve">. </w:t>
      </w:r>
    </w:p>
    <w:p w:rsidR="0035651C" w:rsidRPr="0035651C" w:rsidRDefault="0035651C" w:rsidP="00272279"/>
    <w:p w:rsidR="003212C9" w:rsidRPr="00CD084B" w:rsidRDefault="003212C9" w:rsidP="00272279">
      <w:pPr>
        <w:rPr>
          <w:b/>
        </w:rPr>
      </w:pPr>
      <w:r w:rsidRPr="00CD084B">
        <w:rPr>
          <w:b/>
        </w:rPr>
        <w:t>Overall Points</w:t>
      </w:r>
    </w:p>
    <w:p w:rsidR="00B96F5A" w:rsidRPr="00CD084B" w:rsidRDefault="003212C9" w:rsidP="00272279">
      <w:pPr>
        <w:pStyle w:val="ListParagraph"/>
        <w:numPr>
          <w:ilvl w:val="0"/>
          <w:numId w:val="2"/>
        </w:numPr>
      </w:pPr>
      <w:r w:rsidRPr="00CD084B">
        <w:t>All</w:t>
      </w:r>
      <w:r w:rsidR="002676E6" w:rsidRPr="00CD084B">
        <w:t xml:space="preserve"> future employees hired on or after October 1, 2017, will have a </w:t>
      </w:r>
      <w:r w:rsidR="004F5A6A">
        <w:t>known retirement</w:t>
      </w:r>
      <w:r w:rsidR="002676E6" w:rsidRPr="00CD084B">
        <w:t xml:space="preserve"> cost </w:t>
      </w:r>
      <w:r w:rsidR="00944DB3" w:rsidRPr="00CD084B">
        <w:t xml:space="preserve">each year </w:t>
      </w:r>
      <w:r w:rsidR="002676E6" w:rsidRPr="00CD084B">
        <w:t>due to the closing of the defined benefit plans.</w:t>
      </w:r>
    </w:p>
    <w:p w:rsidR="003212C9" w:rsidRPr="00CD084B" w:rsidRDefault="009A0F23" w:rsidP="00272279">
      <w:pPr>
        <w:pStyle w:val="ListParagraph"/>
        <w:numPr>
          <w:ilvl w:val="0"/>
          <w:numId w:val="2"/>
        </w:numPr>
      </w:pPr>
      <w:r>
        <w:t>T</w:t>
      </w:r>
      <w:r w:rsidR="003212C9" w:rsidRPr="00CD084B">
        <w:t xml:space="preserve">he pension contribution savings compared to FY 2016/17 </w:t>
      </w:r>
      <w:r w:rsidR="000D7DF7">
        <w:t xml:space="preserve">will be offset </w:t>
      </w:r>
      <w:r w:rsidR="003212C9" w:rsidRPr="00CD084B">
        <w:t>by the salary increases</w:t>
      </w:r>
      <w:r w:rsidR="00977D1F" w:rsidRPr="00CD084B">
        <w:t xml:space="preserve"> over the next three years</w:t>
      </w:r>
      <w:r>
        <w:t xml:space="preserve">. </w:t>
      </w:r>
    </w:p>
    <w:p w:rsidR="00D205A8" w:rsidRPr="004E339A" w:rsidRDefault="00643BD1" w:rsidP="00272279">
      <w:pPr>
        <w:pStyle w:val="ListParagraph"/>
        <w:numPr>
          <w:ilvl w:val="0"/>
          <w:numId w:val="2"/>
        </w:numPr>
      </w:pPr>
      <w:proofErr w:type="spellStart"/>
      <w:r w:rsidRPr="004E339A">
        <w:t>JEA</w:t>
      </w:r>
      <w:proofErr w:type="spellEnd"/>
      <w:r w:rsidRPr="004E339A">
        <w:t xml:space="preserve"> collective bargaining agreements are retroactive to October 1, 2016</w:t>
      </w:r>
      <w:r w:rsidR="00D205A8" w:rsidRPr="004E339A">
        <w:t>.</w:t>
      </w:r>
    </w:p>
    <w:p w:rsidR="00AB0F36" w:rsidRPr="004E339A" w:rsidRDefault="004F5A6A" w:rsidP="00272279">
      <w:pPr>
        <w:numPr>
          <w:ilvl w:val="0"/>
          <w:numId w:val="2"/>
        </w:numPr>
        <w:spacing w:after="200" w:line="276" w:lineRule="auto"/>
        <w:contextualSpacing/>
      </w:pPr>
      <w:r w:rsidRPr="004E339A">
        <w:t xml:space="preserve">The City is </w:t>
      </w:r>
      <w:r w:rsidR="0087467F" w:rsidRPr="004E339A">
        <w:t xml:space="preserve">awaiting a ruling related to a </w:t>
      </w:r>
      <w:r w:rsidR="00F9042C" w:rsidRPr="004E339A">
        <w:t xml:space="preserve">legal </w:t>
      </w:r>
      <w:r w:rsidR="0087467F" w:rsidRPr="004E339A">
        <w:t xml:space="preserve">challenge to the </w:t>
      </w:r>
      <w:r w:rsidR="00977D1F" w:rsidRPr="004E339A">
        <w:t xml:space="preserve">sales tax </w:t>
      </w:r>
      <w:r w:rsidR="0087467F" w:rsidRPr="004E339A">
        <w:t>referendum.</w:t>
      </w:r>
      <w:r w:rsidR="00D205A8" w:rsidRPr="004E339A">
        <w:t xml:space="preserve"> </w:t>
      </w:r>
    </w:p>
    <w:p w:rsidR="008F1B2D" w:rsidRPr="004E339A" w:rsidRDefault="009B2383" w:rsidP="00272279">
      <w:pPr>
        <w:numPr>
          <w:ilvl w:val="0"/>
          <w:numId w:val="2"/>
        </w:numPr>
        <w:contextualSpacing/>
      </w:pPr>
      <w:r w:rsidRPr="004E339A">
        <w:t xml:space="preserve">The </w:t>
      </w:r>
      <w:r w:rsidR="00A30A38" w:rsidRPr="004E339A">
        <w:t xml:space="preserve">City cannot unilaterally alter </w:t>
      </w:r>
      <w:r w:rsidR="00442136" w:rsidRPr="004E339A">
        <w:t>public safety members’</w:t>
      </w:r>
      <w:r w:rsidR="00A30A38" w:rsidRPr="004E339A">
        <w:t xml:space="preserve"> pension benefits </w:t>
      </w:r>
      <w:r w:rsidR="004E339A">
        <w:t xml:space="preserve">for up to ten years (i.e. 3/3/3/1) </w:t>
      </w:r>
      <w:r w:rsidR="006B2AEB" w:rsidRPr="004E339A">
        <w:t xml:space="preserve">if </w:t>
      </w:r>
      <w:r w:rsidR="00A30A38" w:rsidRPr="004E339A">
        <w:t xml:space="preserve">both </w:t>
      </w:r>
      <w:r w:rsidR="006B2AEB" w:rsidRPr="004E339A">
        <w:t xml:space="preserve">of the </w:t>
      </w:r>
      <w:r w:rsidR="007A3AF0" w:rsidRPr="004E339A">
        <w:t xml:space="preserve">following </w:t>
      </w:r>
      <w:r w:rsidR="00C523F7" w:rsidRPr="004E339A">
        <w:t>economic factors</w:t>
      </w:r>
      <w:r w:rsidR="006B2AEB" w:rsidRPr="004E339A">
        <w:t xml:space="preserve"> </w:t>
      </w:r>
      <w:r w:rsidR="00A30A38" w:rsidRPr="004E339A">
        <w:t xml:space="preserve">are </w:t>
      </w:r>
      <w:r w:rsidR="006B2AEB" w:rsidRPr="004E339A">
        <w:t>met</w:t>
      </w:r>
      <w:r w:rsidR="007415B8" w:rsidRPr="004E339A">
        <w:t>:</w:t>
      </w:r>
    </w:p>
    <w:p w:rsidR="008F1B2D" w:rsidRPr="004E339A" w:rsidRDefault="008F1B2D" w:rsidP="00272279">
      <w:pPr>
        <w:numPr>
          <w:ilvl w:val="1"/>
          <w:numId w:val="2"/>
        </w:numPr>
        <w:contextualSpacing/>
      </w:pPr>
      <w:r w:rsidRPr="004E339A">
        <w:t>A</w:t>
      </w:r>
      <w:r w:rsidR="00C523F7" w:rsidRPr="004E339A">
        <w:t xml:space="preserve">verage annual </w:t>
      </w:r>
      <w:r w:rsidRPr="004E339A">
        <w:t xml:space="preserve">growth rate of the City’s share of ad valorem revenues collected for the three most recent fiscal years is </w:t>
      </w:r>
      <w:r w:rsidR="00A30A38" w:rsidRPr="004E339A">
        <w:t xml:space="preserve">no </w:t>
      </w:r>
      <w:r w:rsidR="00015F0D">
        <w:t>less than 2.5%;</w:t>
      </w:r>
    </w:p>
    <w:p w:rsidR="0087467F" w:rsidRPr="004E339A" w:rsidRDefault="008F1B2D" w:rsidP="00272279">
      <w:pPr>
        <w:numPr>
          <w:ilvl w:val="1"/>
          <w:numId w:val="2"/>
        </w:numPr>
        <w:contextualSpacing/>
      </w:pPr>
      <w:r w:rsidRPr="004E339A">
        <w:t xml:space="preserve">Average annual gross </w:t>
      </w:r>
      <w:r w:rsidR="00C523F7" w:rsidRPr="004E339A">
        <w:t>return</w:t>
      </w:r>
      <w:r w:rsidRPr="004E339A">
        <w:t xml:space="preserve"> on investment for the appropriate plan is </w:t>
      </w:r>
      <w:r w:rsidR="00A30A38" w:rsidRPr="004E339A">
        <w:t xml:space="preserve">no </w:t>
      </w:r>
      <w:r w:rsidRPr="004E339A">
        <w:t>less than the actuarial assumed rate of return, less 1%</w:t>
      </w:r>
      <w:r w:rsidR="00D93545" w:rsidRPr="004E339A">
        <w:t>, for the three most recent fiscal years</w:t>
      </w:r>
      <w:r w:rsidRPr="004E339A">
        <w:t>.</w:t>
      </w:r>
    </w:p>
    <w:p w:rsidR="00050788" w:rsidRPr="00CD084B" w:rsidRDefault="009B2383" w:rsidP="00272279">
      <w:pPr>
        <w:pStyle w:val="ListParagraph"/>
        <w:numPr>
          <w:ilvl w:val="0"/>
          <w:numId w:val="2"/>
        </w:numPr>
      </w:pPr>
      <w:r>
        <w:t xml:space="preserve">The </w:t>
      </w:r>
      <w:r w:rsidR="00644F7A">
        <w:t xml:space="preserve">impact to </w:t>
      </w:r>
      <w:r>
        <w:t xml:space="preserve">recruitment and retaining of </w:t>
      </w:r>
      <w:r w:rsidR="002B1EAB" w:rsidRPr="00CD084B">
        <w:t>employees</w:t>
      </w:r>
      <w:r w:rsidR="00050788" w:rsidRPr="00CD084B">
        <w:t xml:space="preserve"> </w:t>
      </w:r>
      <w:r>
        <w:t>under the new plan</w:t>
      </w:r>
      <w:r w:rsidR="00644F7A">
        <w:t>s</w:t>
      </w:r>
      <w:r>
        <w:t xml:space="preserve"> is an unknown.</w:t>
      </w:r>
    </w:p>
    <w:p w:rsidR="0087467F" w:rsidRPr="00CD084B" w:rsidRDefault="002B1EAB" w:rsidP="00272279">
      <w:pPr>
        <w:pStyle w:val="ListParagraph"/>
        <w:numPr>
          <w:ilvl w:val="0"/>
          <w:numId w:val="2"/>
        </w:numPr>
      </w:pPr>
      <w:r w:rsidRPr="009B2383">
        <w:t>Roll-Back of 2015-304-E Benefit Changes</w:t>
      </w:r>
      <w:r w:rsidRPr="00CD084B">
        <w:t xml:space="preserve"> –</w:t>
      </w:r>
      <w:r w:rsidR="009B2383">
        <w:t xml:space="preserve"> T</w:t>
      </w:r>
      <w:r w:rsidRPr="00CD084B">
        <w:t xml:space="preserve">he </w:t>
      </w:r>
      <w:r w:rsidR="00B75A25" w:rsidRPr="00CD084B">
        <w:t xml:space="preserve">Police and Fire Pension Fund </w:t>
      </w:r>
      <w:r w:rsidRPr="00CD084B">
        <w:t xml:space="preserve">benefit changes agreed to in 2015-304-E are </w:t>
      </w:r>
      <w:r w:rsidR="00B75A25" w:rsidRPr="00CD084B">
        <w:t xml:space="preserve">eliminated. </w:t>
      </w:r>
      <w:r w:rsidR="004960F4" w:rsidRPr="00CD084B">
        <w:t>Examples of these changes include:</w:t>
      </w:r>
    </w:p>
    <w:p w:rsidR="009B2383" w:rsidRDefault="00B75A25" w:rsidP="00272279">
      <w:pPr>
        <w:pStyle w:val="ListParagraph"/>
        <w:numPr>
          <w:ilvl w:val="1"/>
          <w:numId w:val="2"/>
        </w:numPr>
      </w:pPr>
      <w:r w:rsidRPr="009B2383">
        <w:t>COLA –</w:t>
      </w:r>
      <w:r w:rsidRPr="00CD084B">
        <w:rPr>
          <w:b/>
        </w:rPr>
        <w:t xml:space="preserve"> </w:t>
      </w:r>
      <w:r w:rsidRPr="00CD084B">
        <w:t xml:space="preserve">All retirees and survivors will receive 3% per year, even for those years </w:t>
      </w:r>
      <w:r w:rsidR="008D1865">
        <w:t xml:space="preserve">accrued/earned </w:t>
      </w:r>
      <w:r w:rsidR="00621B92">
        <w:t>after the agreement took effect</w:t>
      </w:r>
      <w:r w:rsidR="008D1865">
        <w:t xml:space="preserve">. The COLA was </w:t>
      </w:r>
      <w:r w:rsidRPr="00CD084B">
        <w:t xml:space="preserve">going to be </w:t>
      </w:r>
      <w:r w:rsidR="00977D1F" w:rsidRPr="00CD084B">
        <w:t>the lessor of 6% or the</w:t>
      </w:r>
      <w:r w:rsidR="00117F0A">
        <w:t xml:space="preserve"> social security increase</w:t>
      </w:r>
      <w:r w:rsidR="00977D1F" w:rsidRPr="00CD084B">
        <w:t xml:space="preserve"> for existing employees or the lessor of 1.5% or the social security increase for new hires</w:t>
      </w:r>
      <w:r w:rsidR="004960F4" w:rsidRPr="00CD084B">
        <w:t xml:space="preserve">. The </w:t>
      </w:r>
      <w:r w:rsidR="00C420D4">
        <w:t>COLA delay</w:t>
      </w:r>
      <w:r w:rsidR="004960F4" w:rsidRPr="00CD084B">
        <w:t xml:space="preserve"> put in place for new employees will be removed as well.</w:t>
      </w:r>
    </w:p>
    <w:p w:rsidR="00B75A25" w:rsidRDefault="00B75A25" w:rsidP="00272279">
      <w:pPr>
        <w:pStyle w:val="ListParagraph"/>
        <w:numPr>
          <w:ilvl w:val="1"/>
          <w:numId w:val="2"/>
        </w:numPr>
      </w:pPr>
      <w:r w:rsidRPr="009B2383">
        <w:t>DROP –</w:t>
      </w:r>
      <w:r w:rsidRPr="00CD084B">
        <w:t xml:space="preserve"> Employees hired before </w:t>
      </w:r>
      <w:r w:rsidR="009B2383">
        <w:t xml:space="preserve">this proposal </w:t>
      </w:r>
      <w:r w:rsidR="004E339A">
        <w:t>that</w:t>
      </w:r>
      <w:r w:rsidR="008D1865">
        <w:t xml:space="preserve"> had not reached 20 years of service prior to 2015-304-E </w:t>
      </w:r>
      <w:r w:rsidRPr="00CD084B">
        <w:t xml:space="preserve">were going to earn an interest rate consistent with the </w:t>
      </w:r>
      <w:r w:rsidR="008D1865">
        <w:t xml:space="preserve">rate earned by the </w:t>
      </w:r>
      <w:r w:rsidRPr="00CD084B">
        <w:t>plan (</w:t>
      </w:r>
      <w:r w:rsidR="008D1865">
        <w:t xml:space="preserve">between </w:t>
      </w:r>
      <w:r w:rsidRPr="00CD084B">
        <w:t>2</w:t>
      </w:r>
      <w:r w:rsidR="000D6937" w:rsidRPr="00CD084B">
        <w:t>%</w:t>
      </w:r>
      <w:r w:rsidRPr="00CD084B">
        <w:t>-14.4%)</w:t>
      </w:r>
      <w:r w:rsidR="008D1865">
        <w:t>;</w:t>
      </w:r>
      <w:r w:rsidRPr="00CD084B">
        <w:t xml:space="preserve"> </w:t>
      </w:r>
      <w:r w:rsidR="008D1865">
        <w:t xml:space="preserve">furthermore, </w:t>
      </w:r>
      <w:r w:rsidRPr="00CD084B">
        <w:t xml:space="preserve">no new employees </w:t>
      </w:r>
      <w:r w:rsidR="000D6937" w:rsidRPr="00CD084B">
        <w:t>were</w:t>
      </w:r>
      <w:r w:rsidRPr="00CD084B">
        <w:t xml:space="preserve"> going to be able to enter DROP</w:t>
      </w:r>
      <w:r w:rsidR="008D1865">
        <w:t xml:space="preserve"> </w:t>
      </w:r>
      <w:r w:rsidR="004E339A">
        <w:t>pursuant to</w:t>
      </w:r>
      <w:r w:rsidR="008D1865">
        <w:t xml:space="preserve"> 2015-304-E</w:t>
      </w:r>
      <w:r w:rsidRPr="00CD084B">
        <w:t xml:space="preserve">. </w:t>
      </w:r>
      <w:r w:rsidR="00117F0A">
        <w:t>Anyone hired prior to 10/1/17 will now be eligible to receive the guaranteed 8.4% DROP return</w:t>
      </w:r>
      <w:r w:rsidR="004E339A">
        <w:t>.</w:t>
      </w:r>
      <w:r w:rsidR="00D205A8" w:rsidRPr="00CD084B">
        <w:t xml:space="preserve"> </w:t>
      </w:r>
    </w:p>
    <w:p w:rsidR="00D205A8" w:rsidRPr="00CD084B" w:rsidRDefault="002F3EF3" w:rsidP="00A93DB8">
      <w:pPr>
        <w:numPr>
          <w:ilvl w:val="0"/>
          <w:numId w:val="2"/>
        </w:numPr>
        <w:contextualSpacing/>
      </w:pPr>
      <w:r>
        <w:t>Correction</w:t>
      </w:r>
      <w:r w:rsidR="00D205A8" w:rsidRPr="00CD084B">
        <w:t xml:space="preserve"> officers</w:t>
      </w:r>
      <w:r w:rsidR="004E339A">
        <w:t xml:space="preserve"> will</w:t>
      </w:r>
      <w:r w:rsidR="00D205A8" w:rsidRPr="00CD084B">
        <w:t xml:space="preserve"> </w:t>
      </w:r>
      <w:r w:rsidR="00B15C1C">
        <w:t xml:space="preserve">receive a new benefit </w:t>
      </w:r>
      <w:r w:rsidR="00D03891">
        <w:t xml:space="preserve">which enables them </w:t>
      </w:r>
      <w:r w:rsidR="00B15C1C">
        <w:t xml:space="preserve">to </w:t>
      </w:r>
      <w:r>
        <w:t xml:space="preserve">leave </w:t>
      </w:r>
      <w:r w:rsidR="00D03891">
        <w:t xml:space="preserve">funds in </w:t>
      </w:r>
      <w:r>
        <w:t xml:space="preserve">their DROP accounts </w:t>
      </w:r>
      <w:r w:rsidR="00D03891">
        <w:t xml:space="preserve">maintained by the pension </w:t>
      </w:r>
      <w:r w:rsidR="00D03891" w:rsidRPr="005F5B16">
        <w:t xml:space="preserve">funds </w:t>
      </w:r>
      <w:r w:rsidR="00B67C88" w:rsidRPr="005F5B16">
        <w:t>and paid out</w:t>
      </w:r>
      <w:r w:rsidR="00B67C88">
        <w:t xml:space="preserve"> </w:t>
      </w:r>
      <w:r w:rsidR="003F06D0">
        <w:t xml:space="preserve">for a length of time </w:t>
      </w:r>
      <w:r w:rsidR="00D03891">
        <w:t xml:space="preserve">tied to mortality tables. The assets during this period will </w:t>
      </w:r>
      <w:r w:rsidR="00B15C1C">
        <w:t xml:space="preserve">earn the actual rate of </w:t>
      </w:r>
      <w:r>
        <w:t xml:space="preserve">return of the </w:t>
      </w:r>
      <w:r w:rsidR="00D03891">
        <w:t xml:space="preserve">Plan </w:t>
      </w:r>
      <w:r>
        <w:t xml:space="preserve">between </w:t>
      </w:r>
      <w:r w:rsidR="00B15C1C">
        <w:t>0%-</w:t>
      </w:r>
      <w:proofErr w:type="gramStart"/>
      <w:r w:rsidR="00B15C1C">
        <w:t>14%</w:t>
      </w:r>
      <w:proofErr w:type="gramEnd"/>
      <w:r w:rsidR="00D205A8" w:rsidRPr="00CD084B">
        <w:t xml:space="preserve">. </w:t>
      </w:r>
    </w:p>
    <w:p w:rsidR="00BD2EF3" w:rsidRPr="00CD084B" w:rsidRDefault="00D205A8" w:rsidP="00A93DB8">
      <w:pPr>
        <w:numPr>
          <w:ilvl w:val="0"/>
          <w:numId w:val="2"/>
        </w:numPr>
        <w:contextualSpacing/>
      </w:pPr>
      <w:r w:rsidRPr="00CD084B">
        <w:t xml:space="preserve">In all three </w:t>
      </w:r>
      <w:r w:rsidR="00B15C1C">
        <w:t>DC plans</w:t>
      </w:r>
      <w:r w:rsidRPr="00CD084B">
        <w:t xml:space="preserve">, if </w:t>
      </w:r>
      <w:proofErr w:type="spellStart"/>
      <w:r w:rsidRPr="00CD084B">
        <w:t>a</w:t>
      </w:r>
      <w:proofErr w:type="spellEnd"/>
      <w:r w:rsidR="00621B92">
        <w:t xml:space="preserve"> vested</w:t>
      </w:r>
      <w:r w:rsidRPr="00CD084B">
        <w:t xml:space="preserve"> employee dies prior to retirement, the employee’s </w:t>
      </w:r>
      <w:r w:rsidR="00621B92">
        <w:t xml:space="preserve">spouse can either receive the funds in the member’s </w:t>
      </w:r>
      <w:r w:rsidR="00B15C1C">
        <w:t xml:space="preserve">DC account </w:t>
      </w:r>
      <w:r w:rsidRPr="00CD084B">
        <w:t xml:space="preserve">or </w:t>
      </w:r>
      <w:r w:rsidRPr="007006DA">
        <w:t>can receive a defined benefit pension for the rest of their life.</w:t>
      </w:r>
      <w:r w:rsidRPr="00CD084B">
        <w:t xml:space="preserve"> </w:t>
      </w:r>
      <w:r w:rsidR="00B15C1C">
        <w:t>This benefit is planned to be funded with member and City contributions to a Survivor and Disability Trust.</w:t>
      </w:r>
    </w:p>
    <w:p w:rsidR="000D0A3A" w:rsidRDefault="00BD2EF3" w:rsidP="00A93DB8">
      <w:pPr>
        <w:numPr>
          <w:ilvl w:val="0"/>
          <w:numId w:val="2"/>
        </w:numPr>
        <w:contextualSpacing/>
      </w:pPr>
      <w:r w:rsidRPr="00CD084B">
        <w:t xml:space="preserve">The </w:t>
      </w:r>
      <w:r w:rsidR="00B15C1C">
        <w:t>six</w:t>
      </w:r>
      <w:r w:rsidRPr="00CD084B">
        <w:t xml:space="preserve"> City </w:t>
      </w:r>
      <w:r w:rsidR="00B15C1C">
        <w:t xml:space="preserve">collective bargaining </w:t>
      </w:r>
      <w:r w:rsidR="00C523F7">
        <w:t>agreements address only wages and pension benefits. T</w:t>
      </w:r>
      <w:r w:rsidR="00F97046">
        <w:t xml:space="preserve">he parties agree to reopen negotiations during the first year of the agreement to negotiate </w:t>
      </w:r>
      <w:r w:rsidR="00C523F7">
        <w:t xml:space="preserve">other terms and </w:t>
      </w:r>
      <w:r w:rsidR="00F97046">
        <w:t xml:space="preserve">conditions of employment. </w:t>
      </w:r>
    </w:p>
    <w:p w:rsidR="00693E9A" w:rsidRDefault="00693E9A" w:rsidP="00A93DB8">
      <w:pPr>
        <w:numPr>
          <w:ilvl w:val="0"/>
          <w:numId w:val="2"/>
        </w:numPr>
        <w:contextualSpacing/>
      </w:pPr>
      <w:r>
        <w:t xml:space="preserve">DC members hired prior to 10/1/17 will remain eligible to switch to </w:t>
      </w:r>
      <w:r w:rsidR="004E339A">
        <w:t xml:space="preserve">the </w:t>
      </w:r>
      <w:r>
        <w:t>DB plan within 5 years of employment start date.</w:t>
      </w:r>
    </w:p>
    <w:p w:rsidR="00F97046" w:rsidRPr="00CD084B" w:rsidRDefault="00F97046" w:rsidP="00272279">
      <w:pPr>
        <w:spacing w:after="200" w:line="276" w:lineRule="auto"/>
        <w:ind w:left="360"/>
        <w:contextualSpacing/>
      </w:pPr>
    </w:p>
    <w:p w:rsidR="00345745" w:rsidRDefault="00345745" w:rsidP="00272279">
      <w:pPr>
        <w:rPr>
          <w:b/>
        </w:rPr>
      </w:pPr>
      <w:r>
        <w:rPr>
          <w:b/>
        </w:rPr>
        <w:t>Recommendations</w:t>
      </w:r>
    </w:p>
    <w:p w:rsidR="00345745" w:rsidRDefault="00345745" w:rsidP="00272279">
      <w:pPr>
        <w:pStyle w:val="ListParagraph"/>
        <w:numPr>
          <w:ilvl w:val="0"/>
          <w:numId w:val="2"/>
        </w:numPr>
      </w:pPr>
      <w:r>
        <w:t xml:space="preserve">Council should determine the dollar amount of </w:t>
      </w:r>
      <w:r w:rsidR="008E6F29">
        <w:t>revenue growth</w:t>
      </w:r>
      <w:r>
        <w:t xml:space="preserve"> that can be utilized for recurring expenditures. </w:t>
      </w:r>
      <w:r w:rsidR="0033308C">
        <w:t>Future salary and pension benefit costs w</w:t>
      </w:r>
      <w:r w:rsidR="00EC2852">
        <w:t xml:space="preserve">ill be </w:t>
      </w:r>
      <w:r w:rsidR="00F01A38">
        <w:t>greater than FY 2016/17 amounts;</w:t>
      </w:r>
      <w:r w:rsidR="0033308C">
        <w:t xml:space="preserve"> and therefore, </w:t>
      </w:r>
      <w:r w:rsidR="00EC2852">
        <w:t xml:space="preserve">portions of </w:t>
      </w:r>
      <w:r w:rsidR="0033308C">
        <w:t xml:space="preserve">increases in revenue over the next few fiscal years should be designated to one-time expenses so </w:t>
      </w:r>
      <w:r w:rsidR="00F01A38">
        <w:t>there is</w:t>
      </w:r>
      <w:r w:rsidR="0033308C">
        <w:t xml:space="preserve"> revenue available to cover future costs when pension savings no longer cover those costs.</w:t>
      </w:r>
      <w:r w:rsidRPr="00CD084B">
        <w:t xml:space="preserve"> </w:t>
      </w:r>
    </w:p>
    <w:p w:rsidR="00345745" w:rsidRDefault="00F01A38" w:rsidP="00272279">
      <w:pPr>
        <w:pStyle w:val="ListParagraph"/>
        <w:numPr>
          <w:ilvl w:val="0"/>
          <w:numId w:val="2"/>
        </w:numPr>
      </w:pPr>
      <w:r>
        <w:t xml:space="preserve">We recommend the City have future discussions with </w:t>
      </w:r>
      <w:proofErr w:type="spellStart"/>
      <w:r w:rsidR="000F43BF" w:rsidRPr="00CD084B">
        <w:t>JEA</w:t>
      </w:r>
      <w:proofErr w:type="spellEnd"/>
      <w:r w:rsidR="000F43BF" w:rsidRPr="00CD084B">
        <w:t xml:space="preserve"> </w:t>
      </w:r>
      <w:r>
        <w:t xml:space="preserve">to discuss the </w:t>
      </w:r>
      <w:r w:rsidR="000F43BF" w:rsidRPr="00CD084B">
        <w:t xml:space="preserve">benefit </w:t>
      </w:r>
      <w:r>
        <w:t xml:space="preserve">received </w:t>
      </w:r>
      <w:r w:rsidR="000F43BF" w:rsidRPr="00CD084B">
        <w:t xml:space="preserve">from the portion </w:t>
      </w:r>
      <w:r w:rsidR="000F43BF">
        <w:t xml:space="preserve">of the pension surtax </w:t>
      </w:r>
      <w:r w:rsidR="000F43BF" w:rsidRPr="00CD084B">
        <w:t xml:space="preserve">credited to the </w:t>
      </w:r>
      <w:proofErr w:type="spellStart"/>
      <w:r w:rsidR="000F43BF" w:rsidRPr="00CD084B">
        <w:t>GEPP</w:t>
      </w:r>
      <w:proofErr w:type="spellEnd"/>
      <w:r>
        <w:t>.</w:t>
      </w:r>
      <w:r w:rsidR="0033308C">
        <w:t xml:space="preserve"> </w:t>
      </w:r>
    </w:p>
    <w:p w:rsidR="00345745" w:rsidRPr="00CD084B" w:rsidRDefault="00345745" w:rsidP="00272279">
      <w:pPr>
        <w:spacing w:after="200" w:line="276" w:lineRule="auto"/>
      </w:pPr>
    </w:p>
    <w:sectPr w:rsidR="00345745" w:rsidRPr="00CD08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E1" w:rsidRDefault="00777DE1" w:rsidP="002676E6">
      <w:r>
        <w:separator/>
      </w:r>
    </w:p>
  </w:endnote>
  <w:endnote w:type="continuationSeparator" w:id="0">
    <w:p w:rsidR="00777DE1" w:rsidRDefault="00777DE1" w:rsidP="0026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381637"/>
      <w:docPartObj>
        <w:docPartGallery w:val="Page Numbers (Bottom of Page)"/>
        <w:docPartUnique/>
      </w:docPartObj>
    </w:sdtPr>
    <w:sdtEndPr>
      <w:rPr>
        <w:noProof/>
      </w:rPr>
    </w:sdtEndPr>
    <w:sdtContent>
      <w:p w:rsidR="00D93545" w:rsidRDefault="00D93545">
        <w:pPr>
          <w:pStyle w:val="Footer"/>
          <w:jc w:val="center"/>
        </w:pPr>
        <w:r>
          <w:fldChar w:fldCharType="begin"/>
        </w:r>
        <w:r>
          <w:instrText xml:space="preserve"> PAGE   \* MERGEFORMAT </w:instrText>
        </w:r>
        <w:r>
          <w:fldChar w:fldCharType="separate"/>
        </w:r>
        <w:r w:rsidR="00A93DB8">
          <w:rPr>
            <w:noProof/>
          </w:rPr>
          <w:t>1</w:t>
        </w:r>
        <w:r>
          <w:rPr>
            <w:noProof/>
          </w:rPr>
          <w:fldChar w:fldCharType="end"/>
        </w:r>
      </w:p>
    </w:sdtContent>
  </w:sdt>
  <w:p w:rsidR="007F253E" w:rsidRDefault="007F2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E1" w:rsidRDefault="00777DE1" w:rsidP="002676E6">
      <w:r>
        <w:separator/>
      </w:r>
    </w:p>
  </w:footnote>
  <w:footnote w:type="continuationSeparator" w:id="0">
    <w:p w:rsidR="00777DE1" w:rsidRDefault="00777DE1" w:rsidP="00267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42" w:rsidRPr="00AE555B" w:rsidRDefault="00994042" w:rsidP="00994042">
    <w:pPr>
      <w:pStyle w:val="Header"/>
      <w:jc w:val="center"/>
      <w:rPr>
        <w:b/>
      </w:rPr>
    </w:pPr>
    <w:r w:rsidRPr="00994042">
      <w:rPr>
        <w:b/>
      </w:rPr>
      <w:t xml:space="preserve"> </w:t>
    </w:r>
    <w:r w:rsidRPr="00AE555B">
      <w:rPr>
        <w:b/>
      </w:rPr>
      <w:t>Council Auditor’s Office</w:t>
    </w:r>
  </w:p>
  <w:p w:rsidR="00994042" w:rsidRDefault="00994042" w:rsidP="00994042">
    <w:pPr>
      <w:pStyle w:val="Header"/>
      <w:jc w:val="center"/>
      <w:rPr>
        <w:b/>
      </w:rPr>
    </w:pPr>
    <w:r w:rsidRPr="00AE555B">
      <w:rPr>
        <w:b/>
      </w:rPr>
      <w:t xml:space="preserve">Pension Related Collective Bargaining </w:t>
    </w:r>
    <w:r w:rsidR="00183A5C">
      <w:rPr>
        <w:b/>
      </w:rPr>
      <w:t>Point Sheet</w:t>
    </w:r>
    <w:r w:rsidR="00D93545">
      <w:rPr>
        <w:b/>
      </w:rPr>
      <w:t xml:space="preserve"> – 4/18/17</w:t>
    </w:r>
  </w:p>
  <w:p w:rsidR="00F43E7C" w:rsidRDefault="00F43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D05FC"/>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443E49C0"/>
    <w:multiLevelType w:val="multilevel"/>
    <w:tmpl w:val="962A3FD6"/>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DF73B5C"/>
    <w:multiLevelType w:val="hybridMultilevel"/>
    <w:tmpl w:val="653AD5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2282845"/>
    <w:multiLevelType w:val="hybridMultilevel"/>
    <w:tmpl w:val="3454D9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058E6"/>
    <w:multiLevelType w:val="hybridMultilevel"/>
    <w:tmpl w:val="78F619EA"/>
    <w:lvl w:ilvl="0" w:tplc="D6948130">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0A"/>
    <w:rsid w:val="00015F0D"/>
    <w:rsid w:val="00017783"/>
    <w:rsid w:val="00050788"/>
    <w:rsid w:val="00080CEB"/>
    <w:rsid w:val="000B6A90"/>
    <w:rsid w:val="000C20A1"/>
    <w:rsid w:val="000D0A3A"/>
    <w:rsid w:val="000D6937"/>
    <w:rsid w:val="000D7DF7"/>
    <w:rsid w:val="000F43BF"/>
    <w:rsid w:val="00106778"/>
    <w:rsid w:val="00117F0A"/>
    <w:rsid w:val="001666D2"/>
    <w:rsid w:val="00183A5C"/>
    <w:rsid w:val="002676E6"/>
    <w:rsid w:val="00272279"/>
    <w:rsid w:val="002B1EAB"/>
    <w:rsid w:val="002B7983"/>
    <w:rsid w:val="002F3EF3"/>
    <w:rsid w:val="003133D3"/>
    <w:rsid w:val="003212C9"/>
    <w:rsid w:val="003256CA"/>
    <w:rsid w:val="0033308C"/>
    <w:rsid w:val="00345745"/>
    <w:rsid w:val="0035651C"/>
    <w:rsid w:val="00373347"/>
    <w:rsid w:val="003F06D0"/>
    <w:rsid w:val="00413C26"/>
    <w:rsid w:val="00442136"/>
    <w:rsid w:val="004577E8"/>
    <w:rsid w:val="00475FBC"/>
    <w:rsid w:val="004960F4"/>
    <w:rsid w:val="004B2229"/>
    <w:rsid w:val="004E339A"/>
    <w:rsid w:val="004F5A6A"/>
    <w:rsid w:val="00502C21"/>
    <w:rsid w:val="005D2BD3"/>
    <w:rsid w:val="005F4199"/>
    <w:rsid w:val="005F5B16"/>
    <w:rsid w:val="00621B92"/>
    <w:rsid w:val="00643BD1"/>
    <w:rsid w:val="00644F7A"/>
    <w:rsid w:val="00680141"/>
    <w:rsid w:val="00693E9A"/>
    <w:rsid w:val="006B2AEB"/>
    <w:rsid w:val="006F0512"/>
    <w:rsid w:val="007006DA"/>
    <w:rsid w:val="00740F68"/>
    <w:rsid w:val="007415B8"/>
    <w:rsid w:val="007633BC"/>
    <w:rsid w:val="00766732"/>
    <w:rsid w:val="00770081"/>
    <w:rsid w:val="00777DE1"/>
    <w:rsid w:val="007827E3"/>
    <w:rsid w:val="007A3AF0"/>
    <w:rsid w:val="007B13A2"/>
    <w:rsid w:val="007F253E"/>
    <w:rsid w:val="00853782"/>
    <w:rsid w:val="0087467F"/>
    <w:rsid w:val="008D1865"/>
    <w:rsid w:val="008E4303"/>
    <w:rsid w:val="008E6F29"/>
    <w:rsid w:val="008F1B2D"/>
    <w:rsid w:val="008F4E37"/>
    <w:rsid w:val="0093439C"/>
    <w:rsid w:val="00944DB3"/>
    <w:rsid w:val="0097439E"/>
    <w:rsid w:val="00977D1F"/>
    <w:rsid w:val="00983FA1"/>
    <w:rsid w:val="0099035D"/>
    <w:rsid w:val="00994042"/>
    <w:rsid w:val="009A0F23"/>
    <w:rsid w:val="009B2383"/>
    <w:rsid w:val="009D589A"/>
    <w:rsid w:val="00A30A38"/>
    <w:rsid w:val="00A93DB8"/>
    <w:rsid w:val="00AB0F36"/>
    <w:rsid w:val="00AB5C94"/>
    <w:rsid w:val="00B15C1C"/>
    <w:rsid w:val="00B42C09"/>
    <w:rsid w:val="00B661FA"/>
    <w:rsid w:val="00B67C88"/>
    <w:rsid w:val="00B75A25"/>
    <w:rsid w:val="00B96F5A"/>
    <w:rsid w:val="00BC31D4"/>
    <w:rsid w:val="00BD2EF3"/>
    <w:rsid w:val="00C420D4"/>
    <w:rsid w:val="00C523F7"/>
    <w:rsid w:val="00C731CF"/>
    <w:rsid w:val="00CD084B"/>
    <w:rsid w:val="00D03891"/>
    <w:rsid w:val="00D10ABE"/>
    <w:rsid w:val="00D11927"/>
    <w:rsid w:val="00D205A8"/>
    <w:rsid w:val="00D25B0A"/>
    <w:rsid w:val="00D93545"/>
    <w:rsid w:val="00E40DA1"/>
    <w:rsid w:val="00E710BB"/>
    <w:rsid w:val="00E8029A"/>
    <w:rsid w:val="00EC2852"/>
    <w:rsid w:val="00F01A38"/>
    <w:rsid w:val="00F06D4C"/>
    <w:rsid w:val="00F43E7C"/>
    <w:rsid w:val="00F9042C"/>
    <w:rsid w:val="00F93DFB"/>
    <w:rsid w:val="00F97046"/>
    <w:rsid w:val="00FF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6E6"/>
    <w:pPr>
      <w:tabs>
        <w:tab w:val="center" w:pos="4680"/>
        <w:tab w:val="right" w:pos="9360"/>
      </w:tabs>
    </w:pPr>
  </w:style>
  <w:style w:type="character" w:customStyle="1" w:styleId="HeaderChar">
    <w:name w:val="Header Char"/>
    <w:basedOn w:val="DefaultParagraphFont"/>
    <w:link w:val="Header"/>
    <w:uiPriority w:val="99"/>
    <w:rsid w:val="002676E6"/>
  </w:style>
  <w:style w:type="paragraph" w:styleId="Footer">
    <w:name w:val="footer"/>
    <w:basedOn w:val="Normal"/>
    <w:link w:val="FooterChar"/>
    <w:uiPriority w:val="99"/>
    <w:unhideWhenUsed/>
    <w:rsid w:val="002676E6"/>
    <w:pPr>
      <w:tabs>
        <w:tab w:val="center" w:pos="4680"/>
        <w:tab w:val="right" w:pos="9360"/>
      </w:tabs>
    </w:pPr>
  </w:style>
  <w:style w:type="character" w:customStyle="1" w:styleId="FooterChar">
    <w:name w:val="Footer Char"/>
    <w:basedOn w:val="DefaultParagraphFont"/>
    <w:link w:val="Footer"/>
    <w:uiPriority w:val="99"/>
    <w:rsid w:val="002676E6"/>
  </w:style>
  <w:style w:type="paragraph" w:styleId="ListParagraph">
    <w:name w:val="List Paragraph"/>
    <w:basedOn w:val="Normal"/>
    <w:uiPriority w:val="34"/>
    <w:qFormat/>
    <w:rsid w:val="002676E6"/>
    <w:pPr>
      <w:ind w:left="720"/>
      <w:contextualSpacing/>
    </w:pPr>
  </w:style>
  <w:style w:type="paragraph" w:styleId="BalloonText">
    <w:name w:val="Balloon Text"/>
    <w:basedOn w:val="Normal"/>
    <w:link w:val="BalloonTextChar"/>
    <w:uiPriority w:val="99"/>
    <w:semiHidden/>
    <w:unhideWhenUsed/>
    <w:rsid w:val="00983FA1"/>
    <w:rPr>
      <w:rFonts w:ascii="Tahoma" w:hAnsi="Tahoma" w:cs="Tahoma"/>
      <w:sz w:val="16"/>
      <w:szCs w:val="16"/>
    </w:rPr>
  </w:style>
  <w:style w:type="character" w:customStyle="1" w:styleId="BalloonTextChar">
    <w:name w:val="Balloon Text Char"/>
    <w:basedOn w:val="DefaultParagraphFont"/>
    <w:link w:val="BalloonText"/>
    <w:uiPriority w:val="99"/>
    <w:semiHidden/>
    <w:rsid w:val="00983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6E6"/>
    <w:pPr>
      <w:tabs>
        <w:tab w:val="center" w:pos="4680"/>
        <w:tab w:val="right" w:pos="9360"/>
      </w:tabs>
    </w:pPr>
  </w:style>
  <w:style w:type="character" w:customStyle="1" w:styleId="HeaderChar">
    <w:name w:val="Header Char"/>
    <w:basedOn w:val="DefaultParagraphFont"/>
    <w:link w:val="Header"/>
    <w:uiPriority w:val="99"/>
    <w:rsid w:val="002676E6"/>
  </w:style>
  <w:style w:type="paragraph" w:styleId="Footer">
    <w:name w:val="footer"/>
    <w:basedOn w:val="Normal"/>
    <w:link w:val="FooterChar"/>
    <w:uiPriority w:val="99"/>
    <w:unhideWhenUsed/>
    <w:rsid w:val="002676E6"/>
    <w:pPr>
      <w:tabs>
        <w:tab w:val="center" w:pos="4680"/>
        <w:tab w:val="right" w:pos="9360"/>
      </w:tabs>
    </w:pPr>
  </w:style>
  <w:style w:type="character" w:customStyle="1" w:styleId="FooterChar">
    <w:name w:val="Footer Char"/>
    <w:basedOn w:val="DefaultParagraphFont"/>
    <w:link w:val="Footer"/>
    <w:uiPriority w:val="99"/>
    <w:rsid w:val="002676E6"/>
  </w:style>
  <w:style w:type="paragraph" w:styleId="ListParagraph">
    <w:name w:val="List Paragraph"/>
    <w:basedOn w:val="Normal"/>
    <w:uiPriority w:val="34"/>
    <w:qFormat/>
    <w:rsid w:val="002676E6"/>
    <w:pPr>
      <w:ind w:left="720"/>
      <w:contextualSpacing/>
    </w:pPr>
  </w:style>
  <w:style w:type="paragraph" w:styleId="BalloonText">
    <w:name w:val="Balloon Text"/>
    <w:basedOn w:val="Normal"/>
    <w:link w:val="BalloonTextChar"/>
    <w:uiPriority w:val="99"/>
    <w:semiHidden/>
    <w:unhideWhenUsed/>
    <w:rsid w:val="00983FA1"/>
    <w:rPr>
      <w:rFonts w:ascii="Tahoma" w:hAnsi="Tahoma" w:cs="Tahoma"/>
      <w:sz w:val="16"/>
      <w:szCs w:val="16"/>
    </w:rPr>
  </w:style>
  <w:style w:type="character" w:customStyle="1" w:styleId="BalloonTextChar">
    <w:name w:val="Balloon Text Char"/>
    <w:basedOn w:val="DefaultParagraphFont"/>
    <w:link w:val="BalloonText"/>
    <w:uiPriority w:val="99"/>
    <w:semiHidden/>
    <w:rsid w:val="00983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bparks</dc:creator>
  <cp:lastModifiedBy>Peterson, Phillip</cp:lastModifiedBy>
  <cp:revision>5</cp:revision>
  <cp:lastPrinted>2017-04-18T23:24:00Z</cp:lastPrinted>
  <dcterms:created xsi:type="dcterms:W3CDTF">2017-04-18T23:37:00Z</dcterms:created>
  <dcterms:modified xsi:type="dcterms:W3CDTF">2017-04-18T23:40:00Z</dcterms:modified>
</cp:coreProperties>
</file>