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61" w:rsidRDefault="009D7261"/>
    <w:p w:rsidR="00572BFE" w:rsidRDefault="00572BFE"/>
    <w:p w:rsidR="00572BFE" w:rsidRPr="00572BFE" w:rsidRDefault="00572BFE" w:rsidP="00572B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72BF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Post-Employment Appeals Committee Annual Report 2018</w:t>
      </w:r>
    </w:p>
    <w:p w:rsidR="00572BFE" w:rsidRPr="00572BFE" w:rsidRDefault="00572BFE" w:rsidP="00572B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2BFE" w:rsidRPr="00572BFE" w:rsidRDefault="00572BFE" w:rsidP="00572B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sz w:val="24"/>
          <w:szCs w:val="20"/>
        </w:rPr>
        <w:t>In accordance with Jacksonville Ordinance Code section 50.110, the Post-Employment Appeals Committee submits its Annual Report for calendar year 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2BFE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</w:p>
    <w:p w:rsidR="00572BFE" w:rsidRPr="00572BFE" w:rsidRDefault="00572BFE" w:rsidP="00572B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72BFE" w:rsidRPr="00572BFE" w:rsidRDefault="00572BFE" w:rsidP="00572BFE">
      <w:pPr>
        <w:widowControl w:val="0"/>
        <w:numPr>
          <w:ilvl w:val="0"/>
          <w:numId w:val="2"/>
        </w:numPr>
        <w:spacing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Post-Employment Appeals Committee Members</w:t>
      </w:r>
      <w:r w:rsidRPr="00572BFE">
        <w:rPr>
          <w:rFonts w:ascii="Times New Roman" w:eastAsia="Times New Roman" w:hAnsi="Times New Roman" w:cs="Times New Roman"/>
          <w:sz w:val="24"/>
          <w:szCs w:val="20"/>
        </w:rPr>
        <w:t xml:space="preserve">:  </w:t>
      </w:r>
    </w:p>
    <w:p w:rsidR="00572BFE" w:rsidRPr="00572BFE" w:rsidRDefault="00572BFE" w:rsidP="00572BFE">
      <w:pPr>
        <w:widowControl w:val="0"/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sz w:val="24"/>
          <w:szCs w:val="20"/>
        </w:rPr>
        <w:t>Pursuant to Jacksonville Ethics Code section 602.412, the Post-Employment Appeals Committee was comprised of the following three (3) members in 201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2BFE"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972"/>
      </w:tblGrid>
      <w:tr w:rsidR="00572BFE" w:rsidRPr="00572BFE" w:rsidTr="00BE3F9C">
        <w:trPr>
          <w:jc w:val="center"/>
        </w:trPr>
        <w:tc>
          <w:tcPr>
            <w:tcW w:w="2986" w:type="dxa"/>
          </w:tcPr>
          <w:p w:rsidR="00572BFE" w:rsidRPr="00572BFE" w:rsidRDefault="00572BFE" w:rsidP="00572BF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MEMBER NAME</w:t>
            </w:r>
          </w:p>
        </w:tc>
        <w:tc>
          <w:tcPr>
            <w:tcW w:w="2972" w:type="dxa"/>
          </w:tcPr>
          <w:p w:rsidR="00572BFE" w:rsidRPr="00572BFE" w:rsidRDefault="00572BFE" w:rsidP="00572BFE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POSITION</w:t>
            </w:r>
          </w:p>
        </w:tc>
      </w:tr>
      <w:tr w:rsidR="00572BFE" w:rsidRPr="00572BFE" w:rsidTr="00BE3F9C">
        <w:trPr>
          <w:jc w:val="center"/>
        </w:trPr>
        <w:tc>
          <w:tcPr>
            <w:tcW w:w="2986" w:type="dxa"/>
          </w:tcPr>
          <w:p w:rsidR="00572BFE" w:rsidRPr="00572BFE" w:rsidRDefault="00572BFE" w:rsidP="00572B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Council Member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Tommy Hazouri</w:t>
            </w:r>
          </w:p>
        </w:tc>
        <w:tc>
          <w:tcPr>
            <w:tcW w:w="2972" w:type="dxa"/>
          </w:tcPr>
          <w:p w:rsidR="00572BFE" w:rsidRPr="00572BFE" w:rsidRDefault="00572BFE" w:rsidP="00572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Chair of Post-Employment Appeals Committee and </w:t>
            </w: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>City Council Rules Committee Chair</w:t>
            </w:r>
          </w:p>
        </w:tc>
      </w:tr>
      <w:tr w:rsidR="00572BFE" w:rsidRPr="00572BFE" w:rsidTr="00BE3F9C">
        <w:trPr>
          <w:jc w:val="center"/>
        </w:trPr>
        <w:tc>
          <w:tcPr>
            <w:tcW w:w="2986" w:type="dxa"/>
          </w:tcPr>
          <w:p w:rsidR="00572BFE" w:rsidRPr="00572BFE" w:rsidRDefault="00572BFE" w:rsidP="00572BFE">
            <w:pPr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Brian Aull</w:t>
            </w:r>
          </w:p>
        </w:tc>
        <w:tc>
          <w:tcPr>
            <w:tcW w:w="2972" w:type="dxa"/>
          </w:tcPr>
          <w:p w:rsidR="00572BFE" w:rsidRPr="00572BFE" w:rsidRDefault="00572BFE" w:rsidP="00572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>Ethics Commission Chair</w:t>
            </w:r>
          </w:p>
        </w:tc>
      </w:tr>
      <w:tr w:rsidR="00572BFE" w:rsidRPr="00572BFE" w:rsidTr="00BE3F9C">
        <w:trPr>
          <w:jc w:val="center"/>
        </w:trPr>
        <w:tc>
          <w:tcPr>
            <w:tcW w:w="2986" w:type="dxa"/>
          </w:tcPr>
          <w:p w:rsidR="00572BFE" w:rsidRPr="00572BFE" w:rsidRDefault="00572BFE" w:rsidP="00572BFE">
            <w:pPr>
              <w:numPr>
                <w:ilvl w:val="0"/>
                <w:numId w:val="1"/>
              </w:num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>Greg Pease</w:t>
            </w:r>
          </w:p>
        </w:tc>
        <w:tc>
          <w:tcPr>
            <w:tcW w:w="2972" w:type="dxa"/>
          </w:tcPr>
          <w:p w:rsidR="00572BFE" w:rsidRPr="00572BFE" w:rsidRDefault="00572BFE" w:rsidP="00572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Chief of </w:t>
            </w:r>
          </w:p>
          <w:p w:rsidR="00572BFE" w:rsidRPr="00572BFE" w:rsidRDefault="00572BFE" w:rsidP="00572B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72BF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Procurement Division </w:t>
            </w:r>
          </w:p>
        </w:tc>
      </w:tr>
    </w:tbl>
    <w:p w:rsidR="00572BFE" w:rsidRPr="00572BFE" w:rsidRDefault="00572BFE" w:rsidP="00572BFE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572BFE" w:rsidRPr="00572BFE" w:rsidRDefault="00572BFE" w:rsidP="00572B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sz w:val="24"/>
          <w:szCs w:val="20"/>
        </w:rPr>
        <w:t>There are no prior or current vacancies on the Post-Employment Appeals Committee.</w:t>
      </w:r>
    </w:p>
    <w:p w:rsidR="00572BFE" w:rsidRPr="00572BFE" w:rsidRDefault="00572BFE" w:rsidP="00572B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2BFE" w:rsidRPr="00572BFE" w:rsidRDefault="00572BFE" w:rsidP="00572BFE">
      <w:pPr>
        <w:widowControl w:val="0"/>
        <w:numPr>
          <w:ilvl w:val="0"/>
          <w:numId w:val="2"/>
        </w:numPr>
        <w:spacing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Summary of Post-Employment Committee Purpose and Activities/Meetings</w:t>
      </w:r>
    </w:p>
    <w:p w:rsidR="00572BFE" w:rsidRPr="00572BFE" w:rsidRDefault="00572BFE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sz w:val="24"/>
          <w:szCs w:val="20"/>
        </w:rPr>
        <w:t>The Post-Employment Appeals Committee was established by City Council in 2007 to permit City employees and officials to appeal the application of post-employment restrictions pursuant to section 602.412.</w:t>
      </w:r>
    </w:p>
    <w:p w:rsidR="00572BFE" w:rsidRPr="00572BFE" w:rsidRDefault="00572BFE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2BFE" w:rsidRDefault="00572BFE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2BFE">
        <w:rPr>
          <w:rFonts w:ascii="Times New Roman" w:eastAsia="Times New Roman" w:hAnsi="Times New Roman" w:cs="Times New Roman"/>
          <w:sz w:val="24"/>
          <w:szCs w:val="20"/>
        </w:rPr>
        <w:t xml:space="preserve">The Post-Employment Appeals Committee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met two times in 2018.  </w:t>
      </w:r>
      <w:r w:rsidR="00A61823">
        <w:rPr>
          <w:rFonts w:ascii="Times New Roman" w:eastAsia="Times New Roman" w:hAnsi="Times New Roman" w:cs="Times New Roman"/>
          <w:sz w:val="24"/>
          <w:szCs w:val="20"/>
        </w:rPr>
        <w:t>On one occasion,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Post-Employment Appeals Committee convened to consider an appeal for relief from Section 602.412 of the Jacksonville Ethics Code for a potential future employee with the </w:t>
      </w:r>
      <w:r w:rsidR="008F0E4A">
        <w:rPr>
          <w:rFonts w:ascii="Times New Roman" w:eastAsia="Times New Roman" w:hAnsi="Times New Roman" w:cs="Times New Roman"/>
          <w:sz w:val="24"/>
          <w:szCs w:val="20"/>
        </w:rPr>
        <w:t xml:space="preserve">Children’s Home Society of Florida, Inc.  On </w:t>
      </w:r>
      <w:r w:rsidR="00A61823">
        <w:rPr>
          <w:rFonts w:ascii="Times New Roman" w:eastAsia="Times New Roman" w:hAnsi="Times New Roman" w:cs="Times New Roman"/>
          <w:sz w:val="24"/>
          <w:szCs w:val="20"/>
        </w:rPr>
        <w:t>a second occasion,</w:t>
      </w:r>
      <w:r w:rsidR="008F0E4A">
        <w:rPr>
          <w:rFonts w:ascii="Times New Roman" w:eastAsia="Times New Roman" w:hAnsi="Times New Roman" w:cs="Times New Roman"/>
          <w:sz w:val="24"/>
          <w:szCs w:val="20"/>
        </w:rPr>
        <w:t xml:space="preserve"> the Committee reconvened to consider an appeal for relief from Section 602.412 of the Jacksonville Ethics Code for a potential future employee of</w:t>
      </w:r>
      <w:r w:rsidR="00D10092">
        <w:rPr>
          <w:rFonts w:ascii="Times New Roman" w:eastAsia="Times New Roman" w:hAnsi="Times New Roman" w:cs="Times New Roman"/>
          <w:sz w:val="24"/>
          <w:szCs w:val="20"/>
        </w:rPr>
        <w:t xml:space="preserve"> Michael Baker International.  In both cases, it was determined that the petitioners’ </w:t>
      </w:r>
      <w:r w:rsidR="00A61823">
        <w:rPr>
          <w:rFonts w:ascii="Times New Roman" w:eastAsia="Times New Roman" w:hAnsi="Times New Roman" w:cs="Times New Roman"/>
          <w:sz w:val="24"/>
          <w:szCs w:val="20"/>
        </w:rPr>
        <w:t>previous and future roles</w:t>
      </w:r>
      <w:r w:rsidR="00D10092">
        <w:rPr>
          <w:rFonts w:ascii="Times New Roman" w:eastAsia="Times New Roman" w:hAnsi="Times New Roman" w:cs="Times New Roman"/>
          <w:sz w:val="24"/>
          <w:szCs w:val="20"/>
        </w:rPr>
        <w:t xml:space="preserve"> did not create an ethical dilemma and, therefore, w</w:t>
      </w:r>
      <w:r w:rsidR="008F0E4A">
        <w:rPr>
          <w:rFonts w:ascii="Times New Roman" w:eastAsia="Times New Roman" w:hAnsi="Times New Roman" w:cs="Times New Roman"/>
          <w:sz w:val="24"/>
          <w:szCs w:val="20"/>
        </w:rPr>
        <w:t>aivers were granted for both petitioners.</w:t>
      </w:r>
    </w:p>
    <w:p w:rsidR="00B529AE" w:rsidRDefault="00B529AE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meetings were effective and served the purpose of the enabling legislation.</w:t>
      </w:r>
    </w:p>
    <w:p w:rsidR="00E572F8" w:rsidRDefault="00E572F8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572F8" w:rsidRDefault="00E572F8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Carla Miller</w:t>
      </w:r>
    </w:p>
    <w:p w:rsidR="00E572F8" w:rsidRPr="00572BFE" w:rsidRDefault="00E572F8" w:rsidP="00572B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Director, Office of Ethics Compliance and Oversight</w:t>
      </w:r>
    </w:p>
    <w:p w:rsidR="00572BFE" w:rsidRDefault="00572BFE"/>
    <w:sectPr w:rsidR="00572BFE" w:rsidSect="008F0E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37" w:rsidRDefault="00C12937" w:rsidP="008A009D">
      <w:pPr>
        <w:spacing w:after="0" w:line="240" w:lineRule="auto"/>
      </w:pPr>
      <w:r>
        <w:separator/>
      </w:r>
    </w:p>
  </w:endnote>
  <w:endnote w:type="continuationSeparator" w:id="0">
    <w:p w:rsidR="00C12937" w:rsidRDefault="00C12937" w:rsidP="008A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37" w:rsidRDefault="00C12937" w:rsidP="008A009D">
      <w:pPr>
        <w:spacing w:after="0" w:line="240" w:lineRule="auto"/>
      </w:pPr>
      <w:r>
        <w:separator/>
      </w:r>
    </w:p>
  </w:footnote>
  <w:footnote w:type="continuationSeparator" w:id="0">
    <w:p w:rsidR="00C12937" w:rsidRDefault="00C12937" w:rsidP="008A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9D" w:rsidRPr="008A009D" w:rsidRDefault="00572BFE" w:rsidP="008A009D">
    <w:pPr>
      <w:pStyle w:val="Header"/>
      <w:jc w:val="center"/>
      <w:rPr>
        <w:rFonts w:ascii="Book Antiqua" w:hAnsi="Book Antiqua" w:cs="Times New Roman"/>
        <w:b/>
        <w:sz w:val="28"/>
        <w:szCs w:val="28"/>
      </w:rPr>
    </w:pPr>
    <w:r>
      <w:rPr>
        <w:rFonts w:ascii="Book Antiqua" w:hAnsi="Book Antiqua" w:cs="Times New Roman"/>
        <w:b/>
        <w:sz w:val="28"/>
        <w:szCs w:val="28"/>
      </w:rPr>
      <w:t xml:space="preserve">OFFICE OF </w:t>
    </w:r>
    <w:r w:rsidR="008A009D" w:rsidRPr="008A009D">
      <w:rPr>
        <w:rFonts w:ascii="Book Antiqua" w:hAnsi="Book Antiqua" w:cs="Times New Roman"/>
        <w:b/>
        <w:sz w:val="28"/>
        <w:szCs w:val="28"/>
      </w:rPr>
      <w:t>ETHICS</w:t>
    </w:r>
    <w:r>
      <w:rPr>
        <w:rFonts w:ascii="Book Antiqua" w:hAnsi="Book Antiqua" w:cs="Times New Roman"/>
        <w:b/>
        <w:sz w:val="28"/>
        <w:szCs w:val="28"/>
      </w:rPr>
      <w:t>,</w:t>
    </w:r>
    <w:r w:rsidR="008A009D" w:rsidRPr="008A009D">
      <w:rPr>
        <w:rFonts w:ascii="Book Antiqua" w:hAnsi="Book Antiqua" w:cs="Times New Roman"/>
        <w:b/>
        <w:sz w:val="28"/>
        <w:szCs w:val="28"/>
      </w:rPr>
      <w:t xml:space="preserve"> COMPLIANCE AND OVERSIGHT </w:t>
    </w: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b/>
        <w:sz w:val="28"/>
        <w:szCs w:val="28"/>
      </w:rPr>
    </w:pPr>
    <w:r w:rsidRPr="008A009D">
      <w:rPr>
        <w:rFonts w:ascii="Book Antiqua" w:hAnsi="Book Antiqua" w:cs="Times New Roman"/>
        <w:b/>
        <w:sz w:val="28"/>
        <w:szCs w:val="28"/>
      </w:rPr>
      <w:t>CITY OF JACKSONVILLE</w:t>
    </w:r>
  </w:p>
  <w:p w:rsidR="008A009D" w:rsidRPr="008A009D" w:rsidRDefault="008A009D" w:rsidP="008A009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8A009D" w:rsidRDefault="008A009D" w:rsidP="008A009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5D5E9054" wp14:editId="0FD3C5AE">
          <wp:extent cx="89535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009D" w:rsidRPr="008A009D" w:rsidRDefault="008A009D" w:rsidP="008A009D">
    <w:pPr>
      <w:pStyle w:val="Header"/>
      <w:jc w:val="center"/>
      <w:rPr>
        <w:rFonts w:ascii="Times New Roman" w:hAnsi="Times New Roman" w:cs="Times New Roman"/>
        <w:b/>
        <w:sz w:val="16"/>
        <w:szCs w:val="16"/>
      </w:rPr>
    </w:pP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b/>
        <w:sz w:val="28"/>
        <w:szCs w:val="28"/>
      </w:rPr>
    </w:pPr>
    <w:r w:rsidRPr="008A009D">
      <w:rPr>
        <w:rFonts w:ascii="Book Antiqua" w:hAnsi="Book Antiqua" w:cs="Times New Roman"/>
        <w:b/>
        <w:sz w:val="28"/>
        <w:szCs w:val="28"/>
      </w:rPr>
      <w:t>CARLA MILLER</w:t>
    </w: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b/>
        <w:sz w:val="20"/>
        <w:szCs w:val="20"/>
      </w:rPr>
    </w:pPr>
    <w:r w:rsidRPr="008A009D">
      <w:rPr>
        <w:rFonts w:ascii="Book Antiqua" w:hAnsi="Book Antiqua" w:cs="Times New Roman"/>
        <w:b/>
        <w:sz w:val="20"/>
        <w:szCs w:val="20"/>
      </w:rPr>
      <w:t>DIRECTOR</w:t>
    </w: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8A009D">
      <w:rPr>
        <w:rFonts w:ascii="Book Antiqua" w:hAnsi="Book Antiqua" w:cs="Times New Roman"/>
        <w:sz w:val="20"/>
        <w:szCs w:val="20"/>
      </w:rPr>
      <w:t>CITY HALL, ST. JAMES BUILDING</w:t>
    </w: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8A009D">
      <w:rPr>
        <w:rFonts w:ascii="Book Antiqua" w:hAnsi="Book Antiqua" w:cs="Times New Roman"/>
        <w:sz w:val="20"/>
        <w:szCs w:val="20"/>
      </w:rPr>
      <w:t>117 WEST DUVAL STREET, SUITE 450</w:t>
    </w:r>
  </w:p>
  <w:p w:rsidR="008A009D" w:rsidRPr="008A009D" w:rsidRDefault="008A009D" w:rsidP="008A009D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8A009D">
      <w:rPr>
        <w:rFonts w:ascii="Book Antiqua" w:hAnsi="Book Antiqua" w:cs="Times New Roman"/>
        <w:sz w:val="20"/>
        <w:szCs w:val="20"/>
      </w:rPr>
      <w:t>JACKSONVILLE, FLORIDA 32202</w:t>
    </w:r>
  </w:p>
  <w:p w:rsidR="008A009D" w:rsidRPr="008A009D" w:rsidRDefault="00C12937" w:rsidP="008A009D">
    <w:pPr>
      <w:pStyle w:val="Header"/>
      <w:jc w:val="center"/>
      <w:rPr>
        <w:rFonts w:ascii="Book Antiqua" w:hAnsi="Book Antiqua" w:cs="Times New Roman"/>
        <w:sz w:val="20"/>
        <w:szCs w:val="20"/>
      </w:rPr>
    </w:pPr>
    <w:hyperlink r:id="rId2" w:history="1">
      <w:r w:rsidR="008A009D" w:rsidRPr="008A009D">
        <w:rPr>
          <w:rStyle w:val="Hyperlink"/>
          <w:rFonts w:ascii="Book Antiqua" w:hAnsi="Book Antiqua" w:cs="Times New Roman"/>
          <w:sz w:val="20"/>
          <w:szCs w:val="20"/>
        </w:rPr>
        <w:t>ETHICS@COJ.NET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C2A"/>
    <w:multiLevelType w:val="hybridMultilevel"/>
    <w:tmpl w:val="EC869886"/>
    <w:lvl w:ilvl="0" w:tplc="F468E21E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0471B"/>
    <w:multiLevelType w:val="hybridMultilevel"/>
    <w:tmpl w:val="4B70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9D"/>
    <w:rsid w:val="00572BFE"/>
    <w:rsid w:val="008A009D"/>
    <w:rsid w:val="008F0E4A"/>
    <w:rsid w:val="009D7261"/>
    <w:rsid w:val="00A61823"/>
    <w:rsid w:val="00B529AE"/>
    <w:rsid w:val="00C12937"/>
    <w:rsid w:val="00D10092"/>
    <w:rsid w:val="00E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9D"/>
  </w:style>
  <w:style w:type="paragraph" w:styleId="Footer">
    <w:name w:val="footer"/>
    <w:basedOn w:val="Normal"/>
    <w:link w:val="FooterChar"/>
    <w:uiPriority w:val="99"/>
    <w:unhideWhenUsed/>
    <w:rsid w:val="008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9D"/>
  </w:style>
  <w:style w:type="character" w:styleId="Hyperlink">
    <w:name w:val="Hyperlink"/>
    <w:basedOn w:val="DefaultParagraphFont"/>
    <w:uiPriority w:val="99"/>
    <w:unhideWhenUsed/>
    <w:rsid w:val="008A00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9D"/>
  </w:style>
  <w:style w:type="paragraph" w:styleId="Footer">
    <w:name w:val="footer"/>
    <w:basedOn w:val="Normal"/>
    <w:link w:val="FooterChar"/>
    <w:uiPriority w:val="99"/>
    <w:unhideWhenUsed/>
    <w:rsid w:val="008A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9D"/>
  </w:style>
  <w:style w:type="character" w:styleId="Hyperlink">
    <w:name w:val="Hyperlink"/>
    <w:basedOn w:val="DefaultParagraphFont"/>
    <w:uiPriority w:val="99"/>
    <w:unhideWhenUsed/>
    <w:rsid w:val="008A00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itdfleprd03\common\ethics\ETHICS%20MASTER%20FILE%20(JAN%202014)\Administrative\Forms%20and%20Instructions\Letterhead\ETHICS@COJ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357F-97C9-485F-9B6C-838B1AC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Barboza, Lourdes</dc:creator>
  <cp:lastModifiedBy>Administrator</cp:lastModifiedBy>
  <cp:revision>2</cp:revision>
  <dcterms:created xsi:type="dcterms:W3CDTF">2019-06-25T21:06:00Z</dcterms:created>
  <dcterms:modified xsi:type="dcterms:W3CDTF">2019-06-25T21:06:00Z</dcterms:modified>
</cp:coreProperties>
</file>