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JACKSONVILLE’S </w:t>
      </w:r>
    </w:p>
    <w:p w:rsidR="00122E44" w:rsidRDefault="00011C75" w:rsidP="00011C75">
      <w:pPr>
        <w:jc w:val="center"/>
        <w:rPr>
          <w:b/>
        </w:rPr>
      </w:pPr>
      <w:r w:rsidRPr="0091604B">
        <w:rPr>
          <w:b/>
        </w:rPr>
        <w:t xml:space="preserve">NEIGHBORBOOD </w:t>
      </w:r>
      <w:r w:rsidR="00122E44">
        <w:rPr>
          <w:b/>
        </w:rPr>
        <w:t xml:space="preserve">IMPROVEMENT AND COMMUNITY ENHANCEMENT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MEETING MINUTES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347BD3" w:rsidP="00011C75">
      <w:pPr>
        <w:jc w:val="center"/>
        <w:rPr>
          <w:b/>
        </w:rPr>
      </w:pPr>
      <w:r>
        <w:rPr>
          <w:b/>
        </w:rPr>
        <w:t>August 17</w:t>
      </w:r>
      <w:r w:rsidR="009A2A5A">
        <w:rPr>
          <w:b/>
        </w:rPr>
        <w:t>, 2015</w:t>
      </w:r>
    </w:p>
    <w:p w:rsidR="00011C75" w:rsidRPr="0091604B" w:rsidRDefault="003B419A" w:rsidP="00011C75">
      <w:pPr>
        <w:jc w:val="center"/>
        <w:rPr>
          <w:b/>
        </w:rPr>
      </w:pPr>
      <w:r>
        <w:rPr>
          <w:b/>
        </w:rPr>
        <w:t>4</w:t>
      </w:r>
      <w:r w:rsidR="000F40EF">
        <w:rPr>
          <w:b/>
        </w:rPr>
        <w:t xml:space="preserve">:00 </w:t>
      </w:r>
      <w:r>
        <w:rPr>
          <w:b/>
        </w:rPr>
        <w:t>p</w:t>
      </w:r>
      <w:r w:rsidR="00993B51">
        <w:rPr>
          <w:b/>
        </w:rPr>
        <w:t>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070793" w:rsidP="00011C75">
      <w:pPr>
        <w:jc w:val="center"/>
        <w:rPr>
          <w:b/>
        </w:rPr>
      </w:pPr>
      <w:r>
        <w:rPr>
          <w:b/>
        </w:rPr>
        <w:t>Council Chambers</w:t>
      </w:r>
    </w:p>
    <w:p w:rsidR="00011C75" w:rsidRDefault="00011C75" w:rsidP="00011C75"/>
    <w:p w:rsidR="00886C5D" w:rsidRPr="0091604B" w:rsidRDefault="00886C5D" w:rsidP="00011C75"/>
    <w:p w:rsidR="00011C75" w:rsidRPr="0091604B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1A03EE">
        <w:t>Garrett Dennis</w:t>
      </w:r>
      <w:r>
        <w:t xml:space="preserve"> (Chair), John Crescimbeni, </w:t>
      </w:r>
      <w:r w:rsidR="001A03EE" w:rsidRPr="001A03EE">
        <w:t xml:space="preserve">Bill </w:t>
      </w:r>
      <w:r w:rsidR="00457B4D">
        <w:t>Gu</w:t>
      </w:r>
      <w:r w:rsidR="001A03EE" w:rsidRPr="001A03EE">
        <w:t>l</w:t>
      </w:r>
      <w:r w:rsidR="001A03EE">
        <w:t>li</w:t>
      </w:r>
      <w:r w:rsidR="001A03EE" w:rsidRPr="001A03EE">
        <w:t xml:space="preserve">ford, </w:t>
      </w:r>
      <w:r w:rsidR="00457B4D">
        <w:t>Tommy Hazou</w:t>
      </w:r>
      <w:r w:rsidR="001A03EE">
        <w:t>ri, Al Fe</w:t>
      </w:r>
      <w:r w:rsidR="00457B4D">
        <w:t>r</w:t>
      </w:r>
      <w:r w:rsidR="001A03EE">
        <w:t>raro</w:t>
      </w:r>
      <w:r w:rsidR="00882B0E">
        <w:t>, and</w:t>
      </w:r>
      <w:r w:rsidR="000B4FFC">
        <w:t xml:space="preserve"> </w:t>
      </w:r>
      <w:r w:rsidR="001A03EE">
        <w:t xml:space="preserve">Joyce Morgan </w:t>
      </w:r>
    </w:p>
    <w:p w:rsidR="00011C75" w:rsidRPr="0091604B" w:rsidRDefault="00011C75" w:rsidP="00011C75"/>
    <w:p w:rsidR="00011C75" w:rsidRPr="0091604B" w:rsidRDefault="00011C75" w:rsidP="00011C75">
      <w:r w:rsidRPr="0091604B">
        <w:rPr>
          <w:b/>
        </w:rPr>
        <w:t>Also</w:t>
      </w:r>
      <w:r w:rsidRPr="0091604B">
        <w:t xml:space="preserve">: </w:t>
      </w:r>
      <w:r w:rsidR="001A03EE">
        <w:t xml:space="preserve">Council </w:t>
      </w:r>
      <w:r w:rsidR="00882B0E">
        <w:t>Vice President</w:t>
      </w:r>
      <w:r w:rsidR="006E3717">
        <w:t xml:space="preserve"> </w:t>
      </w:r>
      <w:r w:rsidR="00347BD3">
        <w:t xml:space="preserve">Lori Boyer and </w:t>
      </w:r>
      <w:r w:rsidR="00882B0E">
        <w:t xml:space="preserve">Council Member </w:t>
      </w:r>
      <w:r w:rsidR="00347BD3">
        <w:t>Sam Newby</w:t>
      </w:r>
      <w:r w:rsidR="006E3717">
        <w:t>;</w:t>
      </w:r>
      <w:r>
        <w:t xml:space="preserve"> Paige Johnston </w:t>
      </w:r>
      <w:r w:rsidR="00457B4D">
        <w:t>– General Counsel’s Office; Rupal Wells</w:t>
      </w:r>
      <w:r w:rsidRPr="0091604B">
        <w:t xml:space="preserve"> – ECA  Dist. 8;</w:t>
      </w:r>
      <w:r w:rsidR="00457B4D">
        <w:t xml:space="preserve"> </w:t>
      </w:r>
      <w:r w:rsidR="00AC2D4C">
        <w:t>Darren</w:t>
      </w:r>
      <w:r w:rsidR="00E8503F">
        <w:t xml:space="preserve"> Mason</w:t>
      </w:r>
      <w:r w:rsidR="00AC2D4C">
        <w:t xml:space="preserve"> – ECA Dist. 1; </w:t>
      </w:r>
      <w:r w:rsidR="00E8503F">
        <w:t xml:space="preserve">Jenny Busby – ECA AL 3; </w:t>
      </w:r>
      <w:r>
        <w:t>Robert Campbell</w:t>
      </w:r>
      <w:r w:rsidR="00FE47DE">
        <w:t xml:space="preserve"> – Office of Council Auditor’s; </w:t>
      </w:r>
      <w:r w:rsidR="00BF56DB">
        <w:t>Latanya Peterson</w:t>
      </w:r>
      <w:r w:rsidR="00010348">
        <w:t xml:space="preserve"> </w:t>
      </w:r>
      <w:r w:rsidR="006E3717">
        <w:t xml:space="preserve">– Mayor’s Office; </w:t>
      </w:r>
      <w:r w:rsidR="00457B4D">
        <w:t xml:space="preserve">Crystal Shemwell - Legislative Services Division; </w:t>
      </w:r>
      <w:r w:rsidRPr="0091604B">
        <w:t xml:space="preserve">Yvonne </w:t>
      </w:r>
      <w:r w:rsidR="000F40EF">
        <w:t xml:space="preserve">P. </w:t>
      </w:r>
      <w:r w:rsidRPr="0091604B">
        <w:t xml:space="preserve">Mitchell – Council Research </w:t>
      </w:r>
      <w:r w:rsidR="00457B4D">
        <w:t>Division</w:t>
      </w:r>
    </w:p>
    <w:p w:rsidR="00011C75" w:rsidRPr="0091604B" w:rsidRDefault="00011C75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C43925" w:rsidRDefault="00011C75" w:rsidP="003B0F8A">
      <w:pPr>
        <w:rPr>
          <w:b/>
          <w:u w:val="single"/>
        </w:rPr>
      </w:pPr>
      <w:r>
        <w:t xml:space="preserve">Council Member </w:t>
      </w:r>
      <w:r w:rsidR="00457B4D">
        <w:t>Dennis</w:t>
      </w:r>
      <w:r>
        <w:t xml:space="preserve"> call</w:t>
      </w:r>
      <w:r w:rsidR="00457B4D">
        <w:t xml:space="preserve">ed the meeting to order </w:t>
      </w:r>
      <w:r w:rsidR="00347BD3">
        <w:t xml:space="preserve">at 4:00 </w:t>
      </w:r>
      <w:r w:rsidR="006E3717">
        <w:t>p</w:t>
      </w:r>
      <w:r>
        <w:t>.m.</w:t>
      </w:r>
      <w:r w:rsidR="00457B4D">
        <w:t xml:space="preserve"> </w:t>
      </w:r>
      <w:r>
        <w:t xml:space="preserve">The meeting began with introductions </w:t>
      </w:r>
      <w:r w:rsidR="00882B0E">
        <w:t>of committee</w:t>
      </w:r>
      <w:r w:rsidR="000B4FFC">
        <w:t>.</w:t>
      </w:r>
    </w:p>
    <w:p w:rsidR="00122E44" w:rsidRPr="007D401C" w:rsidRDefault="00122E44" w:rsidP="00117CF9">
      <w:pPr>
        <w:ind w:left="720" w:hanging="720"/>
        <w:rPr>
          <w:b/>
          <w:u w:val="single"/>
        </w:rPr>
      </w:pPr>
    </w:p>
    <w:p w:rsidR="00450432" w:rsidRPr="005D518A" w:rsidRDefault="003B0F8A" w:rsidP="0090478A">
      <w:pPr>
        <w:rPr>
          <w:b/>
          <w:u w:val="single"/>
        </w:rPr>
      </w:pPr>
      <w:r>
        <w:rPr>
          <w:b/>
          <w:u w:val="single"/>
        </w:rPr>
        <w:t>Update from Administration</w:t>
      </w:r>
      <w:r w:rsidR="00122E44" w:rsidRPr="005D518A">
        <w:rPr>
          <w:b/>
          <w:u w:val="single"/>
        </w:rPr>
        <w:t xml:space="preserve"> </w:t>
      </w:r>
    </w:p>
    <w:p w:rsidR="00882B0E" w:rsidRDefault="00882B0E" w:rsidP="0090478A">
      <w:r>
        <w:t xml:space="preserve">Ms. Kerri Stewart explained that administration requests the committee approve </w:t>
      </w:r>
      <w:r w:rsidR="003B0F8A">
        <w:t>2015-322</w:t>
      </w:r>
      <w:r>
        <w:t xml:space="preserve">. This bill </w:t>
      </w:r>
      <w:r w:rsidR="00746D90">
        <w:t>establishes</w:t>
      </w:r>
      <w:r>
        <w:t xml:space="preserve"> the </w:t>
      </w:r>
      <w:r w:rsidR="00746D90">
        <w:t xml:space="preserve">guidelines </w:t>
      </w:r>
      <w:r w:rsidRPr="00882B0E">
        <w:t xml:space="preserve">for the next three years </w:t>
      </w:r>
      <w:r>
        <w:t xml:space="preserve">as to how </w:t>
      </w:r>
      <w:r w:rsidR="00746D90">
        <w:t xml:space="preserve">Affordable </w:t>
      </w:r>
      <w:r>
        <w:t xml:space="preserve">Housing </w:t>
      </w:r>
      <w:r w:rsidR="00746D90">
        <w:t xml:space="preserve">Assistance program </w:t>
      </w:r>
      <w:r>
        <w:t xml:space="preserve">funds will be allocated. It should be noted no funds </w:t>
      </w:r>
      <w:r w:rsidR="00AB4C13">
        <w:t xml:space="preserve">will </w:t>
      </w:r>
      <w:r>
        <w:t>be</w:t>
      </w:r>
      <w:r w:rsidR="00E52905">
        <w:t xml:space="preserve"> moved </w:t>
      </w:r>
      <w:r w:rsidR="00AB4C13">
        <w:t>through t</w:t>
      </w:r>
      <w:r w:rsidR="00E52905">
        <w:t xml:space="preserve">his bill. The Jacksonville </w:t>
      </w:r>
      <w:r>
        <w:t xml:space="preserve">Housing </w:t>
      </w:r>
      <w:r w:rsidR="00E52905">
        <w:t xml:space="preserve">and Community Development </w:t>
      </w:r>
      <w:r>
        <w:t>Commission</w:t>
      </w:r>
      <w:r w:rsidR="00E52905">
        <w:t xml:space="preserve"> consists of </w:t>
      </w:r>
      <w:r w:rsidR="00E52905" w:rsidRPr="00E52905">
        <w:rPr>
          <w:lang w:val="en"/>
        </w:rPr>
        <w:t>11 members, six of whom are appointed by the mayor and confirmed by City Council and five of whom are appointed by the Council.</w:t>
      </w:r>
      <w:r w:rsidR="00E52905">
        <w:rPr>
          <w:lang w:val="en"/>
        </w:rPr>
        <w:t xml:space="preserve"> </w:t>
      </w:r>
      <w:r w:rsidR="00AB4C13">
        <w:rPr>
          <w:lang w:val="en"/>
        </w:rPr>
        <w:t xml:space="preserve">After hearing concerns from Council Members Crescimbeni and Morgan regarding </w:t>
      </w:r>
      <w:r w:rsidR="00E52905">
        <w:rPr>
          <w:lang w:val="en"/>
        </w:rPr>
        <w:t>Commission meetings and lack thereof</w:t>
      </w:r>
      <w:r w:rsidR="00AB4C13">
        <w:rPr>
          <w:lang w:val="en"/>
        </w:rPr>
        <w:t xml:space="preserve">, communication and last minute notifications, </w:t>
      </w:r>
      <w:r w:rsidR="00E52905">
        <w:rPr>
          <w:lang w:val="en"/>
        </w:rPr>
        <w:t xml:space="preserve">Ms. Stewart </w:t>
      </w:r>
      <w:r w:rsidR="00746D90">
        <w:rPr>
          <w:lang w:val="en"/>
        </w:rPr>
        <w:t xml:space="preserve">shared </w:t>
      </w:r>
      <w:r w:rsidR="00E52905">
        <w:rPr>
          <w:lang w:val="en"/>
        </w:rPr>
        <w:t xml:space="preserve">that </w:t>
      </w:r>
      <w:r w:rsidR="00746D90">
        <w:rPr>
          <w:lang w:val="en"/>
        </w:rPr>
        <w:t xml:space="preserve">filling the </w:t>
      </w:r>
      <w:r w:rsidR="00E52905">
        <w:rPr>
          <w:lang w:val="en"/>
        </w:rPr>
        <w:t>vacancies</w:t>
      </w:r>
      <w:r w:rsidR="00746D90">
        <w:rPr>
          <w:lang w:val="en"/>
        </w:rPr>
        <w:t xml:space="preserve"> would assist in resolving some the concerns. </w:t>
      </w:r>
      <w:r w:rsidR="00746D90" w:rsidRPr="00746D90">
        <w:rPr>
          <w:lang w:val="en"/>
        </w:rPr>
        <w:t>Currently, the Council has four vacancies and the Mayor has two vacancies.</w:t>
      </w:r>
    </w:p>
    <w:p w:rsidR="003B0F8A" w:rsidRDefault="003B0F8A" w:rsidP="0090478A"/>
    <w:p w:rsidR="003B0F8A" w:rsidRDefault="003B0F8A" w:rsidP="0090478A">
      <w:r>
        <w:t>Motion/2</w:t>
      </w:r>
      <w:r w:rsidRPr="003B0F8A">
        <w:rPr>
          <w:vertAlign w:val="superscript"/>
        </w:rPr>
        <w:t>nd</w:t>
      </w:r>
      <w:r>
        <w:t xml:space="preserve"> move the recommendation </w:t>
      </w:r>
      <w:r w:rsidR="00746D90">
        <w:t xml:space="preserve">to approve 2015-322 </w:t>
      </w:r>
      <w:r>
        <w:t>– Gulliford/Hazouri (6-0)</w:t>
      </w:r>
    </w:p>
    <w:p w:rsidR="003B0F8A" w:rsidRDefault="003B0F8A" w:rsidP="0090478A"/>
    <w:p w:rsidR="005D518A" w:rsidRPr="005D518A" w:rsidRDefault="005D518A" w:rsidP="005D518A">
      <w:r w:rsidRPr="005D518A">
        <w:rPr>
          <w:b/>
        </w:rPr>
        <w:t>Action:</w:t>
      </w:r>
      <w:r w:rsidRPr="005D518A">
        <w:t xml:space="preserve"> The committee </w:t>
      </w:r>
      <w:r w:rsidR="00FE47DE">
        <w:t>passed</w:t>
      </w:r>
      <w:r w:rsidR="00746D90">
        <w:t xml:space="preserve"> t</w:t>
      </w:r>
      <w:r w:rsidR="003B0F8A">
        <w:t xml:space="preserve">he recommendation </w:t>
      </w:r>
      <w:r w:rsidR="00746D90">
        <w:t>to approve and adopt 2015-322.</w:t>
      </w:r>
    </w:p>
    <w:p w:rsidR="003B0F8A" w:rsidRDefault="003B0F8A" w:rsidP="0090478A">
      <w:pPr>
        <w:rPr>
          <w:b/>
        </w:rPr>
      </w:pPr>
    </w:p>
    <w:p w:rsidR="00092751" w:rsidRDefault="003B0F8A" w:rsidP="0090478A">
      <w:pPr>
        <w:rPr>
          <w:b/>
          <w:u w:val="single"/>
        </w:rPr>
      </w:pPr>
      <w:r w:rsidRPr="003B0F8A">
        <w:rPr>
          <w:b/>
          <w:u w:val="single"/>
        </w:rPr>
        <w:t>Subcommittee Updates</w:t>
      </w:r>
    </w:p>
    <w:p w:rsidR="003B0F8A" w:rsidRDefault="003B0F8A" w:rsidP="0090478A">
      <w:pPr>
        <w:rPr>
          <w:b/>
          <w:u w:val="single"/>
        </w:rPr>
      </w:pPr>
    </w:p>
    <w:p w:rsidR="003B0F8A" w:rsidRPr="003B0F8A" w:rsidRDefault="003B0F8A" w:rsidP="003B0F8A">
      <w:pPr>
        <w:rPr>
          <w:b/>
        </w:rPr>
      </w:pPr>
      <w:r w:rsidRPr="003B0F8A">
        <w:rPr>
          <w:b/>
        </w:rPr>
        <w:lastRenderedPageBreak/>
        <w:t>1. 2015-519 Residential Donations</w:t>
      </w:r>
    </w:p>
    <w:p w:rsidR="00DD0E79" w:rsidRDefault="003B0F8A" w:rsidP="003B0F8A">
      <w:pPr>
        <w:rPr>
          <w:b/>
        </w:rPr>
      </w:pPr>
      <w:r>
        <w:t xml:space="preserve">The draft property donation policy </w:t>
      </w:r>
      <w:r w:rsidR="00394F4E">
        <w:t xml:space="preserve">distributed includes suggestions from the Finance Committee meeting held earlier on this date. </w:t>
      </w:r>
      <w:r>
        <w:t>CM Gulliford stated the legislation was deferred in Finance Comm</w:t>
      </w:r>
      <w:r w:rsidR="0049615D">
        <w:t>ittee due to the listed priorities</w:t>
      </w:r>
      <w:r w:rsidR="00BF56DB">
        <w:t xml:space="preserve"> </w:t>
      </w:r>
      <w:r w:rsidR="00394F4E">
        <w:t xml:space="preserve">in the policy. The policy assists with the methodology to handling the excess properties. The properties referenced are abandoned residential properties with structures onsite, buildable lots and non-buildable lots. One of the concerns is how agencies are prioritized or ranked </w:t>
      </w:r>
      <w:r w:rsidR="00DD0E79">
        <w:t>to determine who receives the donated pro</w:t>
      </w:r>
      <w:r w:rsidR="00394F4E">
        <w:t xml:space="preserve">perty. </w:t>
      </w:r>
      <w:r w:rsidR="00DD0E79" w:rsidRPr="00DD0E79">
        <w:t xml:space="preserve">The </w:t>
      </w:r>
      <w:r w:rsidR="00DD0E79">
        <w:t xml:space="preserve">policy increases the </w:t>
      </w:r>
      <w:r w:rsidR="00DD0E79" w:rsidRPr="00DD0E79">
        <w:t>donation threshold from $25,000 to $50,000.</w:t>
      </w:r>
      <w:r w:rsidR="00DD0E79">
        <w:t xml:space="preserve"> </w:t>
      </w:r>
    </w:p>
    <w:p w:rsidR="004B3DE1" w:rsidRDefault="004B3DE1" w:rsidP="004B3DE1">
      <w:pPr>
        <w:rPr>
          <w:b/>
        </w:rPr>
      </w:pPr>
    </w:p>
    <w:p w:rsidR="004B3DE1" w:rsidRPr="004B3DE1" w:rsidRDefault="008903BB" w:rsidP="004B3DE1">
      <w:r>
        <w:rPr>
          <w:b/>
        </w:rPr>
        <w:t>Assignment:</w:t>
      </w:r>
      <w:r w:rsidR="003B0F8A" w:rsidRPr="003B0F8A">
        <w:t xml:space="preserve"> </w:t>
      </w:r>
      <w:r w:rsidR="004B3DE1" w:rsidRPr="004B3DE1">
        <w:t>Council Members Boyer, Gulliford and Crescimbeni will hold a notice meeting to review g</w:t>
      </w:r>
      <w:r>
        <w:t>uidelines and scoring criteria; and provide a status update at next meeting.</w:t>
      </w:r>
    </w:p>
    <w:p w:rsidR="003B0F8A" w:rsidRPr="003B0F8A" w:rsidRDefault="003B0F8A" w:rsidP="003B0F8A"/>
    <w:p w:rsidR="00122E44" w:rsidRPr="00D10072" w:rsidRDefault="005D518A" w:rsidP="0090478A">
      <w:pPr>
        <w:rPr>
          <w:b/>
        </w:rPr>
      </w:pPr>
      <w:r w:rsidRPr="00D10072">
        <w:rPr>
          <w:b/>
        </w:rPr>
        <w:t xml:space="preserve">2. </w:t>
      </w:r>
      <w:r w:rsidR="00122E44" w:rsidRPr="00D10072">
        <w:rPr>
          <w:b/>
        </w:rPr>
        <w:t>Land Bank</w:t>
      </w:r>
      <w:r w:rsidRPr="00D10072">
        <w:rPr>
          <w:b/>
        </w:rPr>
        <w:t xml:space="preserve">/Lazy Assets </w:t>
      </w:r>
    </w:p>
    <w:p w:rsidR="009A524F" w:rsidRDefault="000B4FFC" w:rsidP="0090478A">
      <w:r>
        <w:t>CM Gulliford reported the planned meeting with DuPont was postponed. He stated that a community meeting will need to be held prior to the</w:t>
      </w:r>
      <w:r w:rsidR="0006696A">
        <w:t xml:space="preserve"> scheduling the next meeting in October. </w:t>
      </w:r>
      <w:r w:rsidR="000D11EB">
        <w:t xml:space="preserve">Also, zombie properties need to be rolled into future discussions. </w:t>
      </w:r>
      <w:r w:rsidR="0006696A">
        <w:t xml:space="preserve">CM Boyer commented that guidelines were needed </w:t>
      </w:r>
      <w:r w:rsidR="000D11EB">
        <w:t xml:space="preserve">to differentiate </w:t>
      </w:r>
      <w:r w:rsidR="0006696A">
        <w:t xml:space="preserve">commercial </w:t>
      </w:r>
      <w:r w:rsidR="000D11EB">
        <w:t xml:space="preserve">and residential </w:t>
      </w:r>
      <w:r w:rsidR="0006696A">
        <w:t>properties</w:t>
      </w:r>
      <w:r w:rsidR="00046109">
        <w:t xml:space="preserve"> that may be in the land bank. CM Gulliford has a meeting with a representative from Washington, DC with a program named Hope Now. The organization is focused on similar topics</w:t>
      </w:r>
      <w:r w:rsidR="00410587">
        <w:t xml:space="preserve"> and may provide a different perspective.</w:t>
      </w:r>
    </w:p>
    <w:p w:rsidR="000B4FFC" w:rsidRDefault="000B4FFC" w:rsidP="0090478A"/>
    <w:p w:rsidR="004E6BD5" w:rsidRDefault="004E6BD5" w:rsidP="0090478A">
      <w:r w:rsidRPr="004E6BD5">
        <w:rPr>
          <w:b/>
        </w:rPr>
        <w:t xml:space="preserve">Action: </w:t>
      </w:r>
      <w:r w:rsidR="00393373">
        <w:t>CM Gulliford will lead the subcommittee.</w:t>
      </w:r>
      <w:r>
        <w:t xml:space="preserve"> </w:t>
      </w:r>
    </w:p>
    <w:p w:rsidR="00046109" w:rsidRDefault="00046109" w:rsidP="0090478A"/>
    <w:p w:rsidR="00046109" w:rsidRPr="00046109" w:rsidRDefault="00046109" w:rsidP="00046109">
      <w:r w:rsidRPr="00046109">
        <w:rPr>
          <w:b/>
        </w:rPr>
        <w:t>Assignment:</w:t>
      </w:r>
      <w:r>
        <w:rPr>
          <w:b/>
        </w:rPr>
        <w:t xml:space="preserve"> </w:t>
      </w:r>
      <w:r>
        <w:t xml:space="preserve">CM Gulliford will provide a report </w:t>
      </w:r>
      <w:r w:rsidR="00410587">
        <w:t>from the meeting with Hope Now representative.</w:t>
      </w:r>
    </w:p>
    <w:p w:rsidR="00046109" w:rsidRDefault="00046109" w:rsidP="0090478A"/>
    <w:p w:rsidR="00122E44" w:rsidRPr="00D10072" w:rsidRDefault="005D518A" w:rsidP="0090478A">
      <w:pPr>
        <w:rPr>
          <w:b/>
        </w:rPr>
      </w:pPr>
      <w:r w:rsidRPr="00D10072">
        <w:rPr>
          <w:b/>
        </w:rPr>
        <w:t xml:space="preserve">3. </w:t>
      </w:r>
      <w:r w:rsidR="00122E44" w:rsidRPr="00D10072">
        <w:rPr>
          <w:b/>
        </w:rPr>
        <w:t xml:space="preserve">2014-553 </w:t>
      </w:r>
      <w:r w:rsidR="008903BB">
        <w:rPr>
          <w:b/>
        </w:rPr>
        <w:t>(</w:t>
      </w:r>
      <w:r w:rsidR="00122E44" w:rsidRPr="00D10072">
        <w:rPr>
          <w:b/>
        </w:rPr>
        <w:t>Snipe Signs</w:t>
      </w:r>
      <w:r w:rsidR="008903BB">
        <w:rPr>
          <w:b/>
        </w:rPr>
        <w:t>)</w:t>
      </w:r>
    </w:p>
    <w:p w:rsidR="006C51B8" w:rsidRDefault="008903BB" w:rsidP="0090478A">
      <w:r>
        <w:t xml:space="preserve">CM Crescimbeni stated subcommittee was unable to meet due to conflicting schedules. </w:t>
      </w:r>
    </w:p>
    <w:p w:rsidR="000E3E8C" w:rsidRDefault="000E3E8C" w:rsidP="0090478A"/>
    <w:p w:rsidR="006C51B8" w:rsidRDefault="000E3E8C" w:rsidP="008C3C0E">
      <w:r>
        <w:t xml:space="preserve">The committee engaged in an extensive discussion regarding the enforcement of snipe signs during public comment. There were several suggestions offered to address the excessive violation of signs. </w:t>
      </w:r>
      <w:r w:rsidR="008C3C0E" w:rsidRPr="008C3C0E">
        <w:t>Mr. Prado reported that the weekend code officers do focus on the Arlington/Regency area picking up signs on Saturday mornings.</w:t>
      </w:r>
      <w:r w:rsidR="008C3C0E">
        <w:t xml:space="preserve"> </w:t>
      </w:r>
      <w:r>
        <w:t xml:space="preserve">It was suggested </w:t>
      </w:r>
      <w:r w:rsidR="008C3C0E">
        <w:t xml:space="preserve">to change the work hours of weekend code officers to catch violators during the peak hours; or </w:t>
      </w:r>
      <w:r>
        <w:t xml:space="preserve">obtaining </w:t>
      </w:r>
      <w:r w:rsidR="008C3C0E">
        <w:t xml:space="preserve">the </w:t>
      </w:r>
      <w:r>
        <w:t>license plate number of those people putting out the signs</w:t>
      </w:r>
      <w:r w:rsidR="008C3C0E">
        <w:t xml:space="preserve">. </w:t>
      </w:r>
      <w:r w:rsidR="00472501">
        <w:t>Mr. Prado will work on a plan/schedule for the committee to implement Operation Snipe Patrol in an effort to stop violators.</w:t>
      </w:r>
      <w:bookmarkStart w:id="0" w:name="_GoBack"/>
      <w:bookmarkEnd w:id="0"/>
    </w:p>
    <w:p w:rsidR="000768AE" w:rsidRDefault="000768AE" w:rsidP="0090478A">
      <w:pPr>
        <w:rPr>
          <w:b/>
        </w:rPr>
      </w:pPr>
    </w:p>
    <w:p w:rsidR="00092751" w:rsidRDefault="00092751" w:rsidP="0090478A">
      <w:r w:rsidRPr="001A5C8D">
        <w:rPr>
          <w:b/>
        </w:rPr>
        <w:t>Action:</w:t>
      </w:r>
      <w:r>
        <w:t xml:space="preserve"> </w:t>
      </w:r>
      <w:r w:rsidR="000B4FFC">
        <w:t>Committee will meet next Monday</w:t>
      </w:r>
      <w:r w:rsidR="0006696A">
        <w:t>, August 17th</w:t>
      </w:r>
      <w:r w:rsidR="000B4FFC">
        <w:t>.</w:t>
      </w:r>
      <w:r w:rsidR="001164F4">
        <w:t xml:space="preserve"> </w:t>
      </w:r>
    </w:p>
    <w:p w:rsidR="007B3031" w:rsidRDefault="007B3031" w:rsidP="0090478A"/>
    <w:p w:rsidR="000768AE" w:rsidRDefault="007B3031" w:rsidP="007B3031">
      <w:pPr>
        <w:rPr>
          <w:b/>
        </w:rPr>
      </w:pPr>
      <w:r w:rsidRPr="007B3031">
        <w:rPr>
          <w:b/>
        </w:rPr>
        <w:t>Assignment:</w:t>
      </w:r>
    </w:p>
    <w:p w:rsidR="000768AE" w:rsidRDefault="000768AE" w:rsidP="000768AE">
      <w:pPr>
        <w:pStyle w:val="ListParagraph"/>
        <w:numPr>
          <w:ilvl w:val="0"/>
          <w:numId w:val="12"/>
        </w:numPr>
      </w:pPr>
      <w:r w:rsidRPr="000768AE">
        <w:t>Ms. Peterson will</w:t>
      </w:r>
      <w:r w:rsidRPr="000768AE">
        <w:rPr>
          <w:b/>
        </w:rPr>
        <w:t xml:space="preserve"> </w:t>
      </w:r>
      <w:r>
        <w:t>inquire with administration regarding blight init</w:t>
      </w:r>
      <w:r w:rsidR="00472501">
        <w:t xml:space="preserve">iative funds being used toward </w:t>
      </w:r>
      <w:r>
        <w:t xml:space="preserve">advertisements against snipe signs. </w:t>
      </w:r>
    </w:p>
    <w:p w:rsidR="007B3031" w:rsidRDefault="007B3031" w:rsidP="000768AE">
      <w:pPr>
        <w:pStyle w:val="ListParagraph"/>
        <w:numPr>
          <w:ilvl w:val="0"/>
          <w:numId w:val="12"/>
        </w:numPr>
      </w:pPr>
      <w:r>
        <w:t xml:space="preserve">The subcommittee was requested to report back </w:t>
      </w:r>
      <w:r w:rsidR="00472501">
        <w:t>at next meeting.</w:t>
      </w:r>
    </w:p>
    <w:p w:rsidR="006C51B8" w:rsidRPr="007B3031" w:rsidRDefault="006C51B8" w:rsidP="000768AE">
      <w:pPr>
        <w:pStyle w:val="ListParagraph"/>
        <w:numPr>
          <w:ilvl w:val="0"/>
          <w:numId w:val="12"/>
        </w:numPr>
      </w:pPr>
      <w:r>
        <w:t>Mr. Prado will make arrangements for Operation Snipe Patrol in the Arlington/Regency area.</w:t>
      </w:r>
    </w:p>
    <w:p w:rsidR="007B3031" w:rsidRDefault="007B3031" w:rsidP="0090478A"/>
    <w:p w:rsidR="00366512" w:rsidRPr="00D10072" w:rsidRDefault="00366512" w:rsidP="0090478A">
      <w:pPr>
        <w:rPr>
          <w:b/>
        </w:rPr>
      </w:pPr>
      <w:r w:rsidRPr="00D10072">
        <w:rPr>
          <w:b/>
        </w:rPr>
        <w:t xml:space="preserve">4. </w:t>
      </w:r>
      <w:r w:rsidR="00122E44" w:rsidRPr="00D10072">
        <w:rPr>
          <w:b/>
        </w:rPr>
        <w:t>2015-361</w:t>
      </w:r>
      <w:r w:rsidR="008903BB">
        <w:rPr>
          <w:b/>
        </w:rPr>
        <w:t xml:space="preserve"> (Vehicle Requirements)</w:t>
      </w:r>
      <w:r w:rsidR="00BE25F1" w:rsidRPr="00D10072">
        <w:rPr>
          <w:b/>
        </w:rPr>
        <w:t xml:space="preserve"> &amp; </w:t>
      </w:r>
      <w:r w:rsidR="003C0D34" w:rsidRPr="00D10072">
        <w:rPr>
          <w:b/>
        </w:rPr>
        <w:t xml:space="preserve">2015-377 </w:t>
      </w:r>
      <w:r w:rsidR="008903BB">
        <w:rPr>
          <w:b/>
        </w:rPr>
        <w:t>(Back end cars)</w:t>
      </w:r>
    </w:p>
    <w:p w:rsidR="000B4FFC" w:rsidRPr="000B4FFC" w:rsidRDefault="000B4FFC" w:rsidP="000B4FFC">
      <w:r w:rsidRPr="000B4FFC">
        <w:t xml:space="preserve">CM Crescimbeni </w:t>
      </w:r>
      <w:r w:rsidR="008903BB">
        <w:t>provided statistical information received from 630-CITY regarding complain</w:t>
      </w:r>
      <w:r w:rsidR="006E568D">
        <w:t>ts related to j</w:t>
      </w:r>
      <w:r w:rsidR="00E32DEE">
        <w:t xml:space="preserve">unk cars, covered cars, and parking on public right-of-way. </w:t>
      </w:r>
      <w:r w:rsidR="006E568D">
        <w:t>In 2014, 630-CITY received 3665 com</w:t>
      </w:r>
      <w:r w:rsidR="00E32DEE">
        <w:t xml:space="preserve">plaints related to junk/covered </w:t>
      </w:r>
      <w:r w:rsidR="006E568D">
        <w:t xml:space="preserve">cars. To date in 2015, the number </w:t>
      </w:r>
      <w:r w:rsidR="00E32DEE">
        <w:t xml:space="preserve">of </w:t>
      </w:r>
      <w:r w:rsidR="006E568D">
        <w:t xml:space="preserve">car complaints received is </w:t>
      </w:r>
      <w:r w:rsidRPr="000B4FFC">
        <w:t>4900</w:t>
      </w:r>
      <w:r w:rsidR="006E568D">
        <w:t xml:space="preserve"> of which 4580 were specific to junk cars.</w:t>
      </w:r>
      <w:r w:rsidR="00E32DEE">
        <w:t xml:space="preserve"> In addition, the number of junk car complaints was provided according to each Council District.</w:t>
      </w:r>
    </w:p>
    <w:p w:rsidR="006C51B8" w:rsidRPr="00E32DEE" w:rsidRDefault="006C51B8" w:rsidP="000B4FFC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2058" w:tblpY="117"/>
        <w:tblW w:w="0" w:type="auto"/>
        <w:tblLook w:val="04A0" w:firstRow="1" w:lastRow="0" w:firstColumn="1" w:lastColumn="0" w:noHBand="0" w:noVBand="1"/>
      </w:tblPr>
      <w:tblGrid>
        <w:gridCol w:w="1450"/>
        <w:gridCol w:w="1520"/>
      </w:tblGrid>
      <w:tr w:rsidR="006C51B8" w:rsidTr="00410587">
        <w:trPr>
          <w:trHeight w:val="449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B8" w:rsidRDefault="006C51B8" w:rsidP="00410587">
            <w:pPr>
              <w:jc w:val="center"/>
            </w:pPr>
            <w:r>
              <w:t>District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B8" w:rsidRDefault="006C51B8" w:rsidP="00410587">
            <w:pPr>
              <w:jc w:val="center"/>
            </w:pPr>
            <w:r>
              <w:t># of Junk Car Complaints</w:t>
            </w:r>
          </w:p>
        </w:tc>
      </w:tr>
      <w:tr w:rsidR="006C51B8" w:rsidTr="00410587">
        <w:trPr>
          <w:trHeight w:val="230"/>
        </w:trPr>
        <w:tc>
          <w:tcPr>
            <w:tcW w:w="1450" w:type="dxa"/>
            <w:tcBorders>
              <w:top w:val="single" w:sz="4" w:space="0" w:color="auto"/>
            </w:tcBorders>
          </w:tcPr>
          <w:p w:rsidR="006C51B8" w:rsidRDefault="006C51B8" w:rsidP="00410587">
            <w:pPr>
              <w:jc w:val="center"/>
            </w:pPr>
            <w:r>
              <w:t>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C51B8" w:rsidRDefault="006C51B8" w:rsidP="00410587">
            <w:pPr>
              <w:jc w:val="center"/>
            </w:pPr>
            <w:r>
              <w:t>426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156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88</w:t>
            </w:r>
          </w:p>
        </w:tc>
      </w:tr>
      <w:tr w:rsidR="006C51B8" w:rsidTr="00410587">
        <w:trPr>
          <w:trHeight w:val="23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4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207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214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138</w:t>
            </w:r>
          </w:p>
        </w:tc>
      </w:tr>
      <w:tr w:rsidR="006C51B8" w:rsidTr="00410587">
        <w:trPr>
          <w:trHeight w:val="23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lastRenderedPageBreak/>
              <w:t>7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576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28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9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807</w:t>
            </w:r>
          </w:p>
        </w:tc>
      </w:tr>
      <w:tr w:rsidR="006C51B8" w:rsidTr="00410587">
        <w:trPr>
          <w:trHeight w:val="23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913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11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30</w:t>
            </w:r>
          </w:p>
        </w:tc>
      </w:tr>
      <w:tr w:rsidR="006C51B8" w:rsidTr="00410587">
        <w:trPr>
          <w:trHeight w:val="23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12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260</w:t>
            </w:r>
          </w:p>
        </w:tc>
      </w:tr>
      <w:tr w:rsidR="006C51B8" w:rsidTr="00410587">
        <w:trPr>
          <w:trHeight w:val="22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13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21</w:t>
            </w:r>
          </w:p>
        </w:tc>
      </w:tr>
      <w:tr w:rsidR="006C51B8" w:rsidTr="00410587">
        <w:trPr>
          <w:trHeight w:val="240"/>
        </w:trPr>
        <w:tc>
          <w:tcPr>
            <w:tcW w:w="1450" w:type="dxa"/>
          </w:tcPr>
          <w:p w:rsidR="006C51B8" w:rsidRDefault="006C51B8" w:rsidP="00410587">
            <w:pPr>
              <w:jc w:val="center"/>
            </w:pPr>
            <w:r>
              <w:t>14</w:t>
            </w:r>
          </w:p>
        </w:tc>
        <w:tc>
          <w:tcPr>
            <w:tcW w:w="1520" w:type="dxa"/>
          </w:tcPr>
          <w:p w:rsidR="006C51B8" w:rsidRDefault="006C51B8" w:rsidP="00410587">
            <w:pPr>
              <w:jc w:val="center"/>
            </w:pPr>
            <w:r>
              <w:t>243</w:t>
            </w:r>
          </w:p>
        </w:tc>
      </w:tr>
    </w:tbl>
    <w:p w:rsidR="000768AE" w:rsidRPr="000B4FFC" w:rsidRDefault="000768AE" w:rsidP="000B4FFC"/>
    <w:p w:rsidR="000B4FFC" w:rsidRPr="000B4FFC" w:rsidRDefault="000B4FFC" w:rsidP="000B4FFC"/>
    <w:p w:rsidR="00410587" w:rsidRDefault="00410587" w:rsidP="0090478A"/>
    <w:p w:rsidR="008C3C0E" w:rsidRDefault="008C3C0E" w:rsidP="0090478A"/>
    <w:p w:rsidR="008C3C0E" w:rsidRDefault="008C3C0E" w:rsidP="0090478A"/>
    <w:p w:rsidR="008C3C0E" w:rsidRDefault="008C3C0E" w:rsidP="0090478A"/>
    <w:p w:rsidR="008C3C0E" w:rsidRDefault="008C3C0E" w:rsidP="0090478A"/>
    <w:p w:rsidR="008C3C0E" w:rsidRDefault="008C3C0E" w:rsidP="0090478A"/>
    <w:p w:rsidR="008C3C0E" w:rsidRDefault="008C3C0E" w:rsidP="0090478A"/>
    <w:p w:rsidR="000B4FFC" w:rsidRDefault="00AE717C" w:rsidP="0090478A">
      <w:r>
        <w:t xml:space="preserve">Research Division researched six municipalities in regards to handling back end and covered vehicles.  With the exception of St. Petersburg’s regulations for car covers, none of the other municipalities have a written ordinance. In response to CM Dennis’ question, Mr. Robert Campbell stated the </w:t>
      </w:r>
      <w:r w:rsidR="000B4FFC">
        <w:t xml:space="preserve">financial impact </w:t>
      </w:r>
      <w:r>
        <w:t xml:space="preserve">of the addressing covered cars </w:t>
      </w:r>
      <w:r w:rsidR="000B4FFC">
        <w:t xml:space="preserve">is better implied once </w:t>
      </w:r>
      <w:r w:rsidR="000D11EB">
        <w:t xml:space="preserve">it has been determined which division will handle </w:t>
      </w:r>
      <w:r w:rsidR="000B4FFC">
        <w:t>enforcement</w:t>
      </w:r>
      <w:r w:rsidR="000D11EB">
        <w:t>. Likewise with snipe signs</w:t>
      </w:r>
      <w:r w:rsidR="00046109">
        <w:t>, with</w:t>
      </w:r>
      <w:r w:rsidR="000D11EB">
        <w:t xml:space="preserve"> additional revenue from increased fines will allow for extended hours and hire additional staff.</w:t>
      </w:r>
    </w:p>
    <w:p w:rsidR="00F07154" w:rsidRDefault="00F07154" w:rsidP="0090478A"/>
    <w:p w:rsidR="00046109" w:rsidRPr="00046109" w:rsidRDefault="00046109" w:rsidP="00046109">
      <w:pPr>
        <w:rPr>
          <w:b/>
        </w:rPr>
      </w:pPr>
      <w:r w:rsidRPr="00046109">
        <w:rPr>
          <w:b/>
        </w:rPr>
        <w:t xml:space="preserve">Action: </w:t>
      </w:r>
      <w:r w:rsidRPr="00046109">
        <w:t xml:space="preserve">Committee will meet next Monday, August 17th. </w:t>
      </w:r>
    </w:p>
    <w:p w:rsidR="00046109" w:rsidRDefault="00046109" w:rsidP="000B4FFC">
      <w:pPr>
        <w:rPr>
          <w:b/>
        </w:rPr>
      </w:pPr>
    </w:p>
    <w:p w:rsidR="000B4FFC" w:rsidRPr="000B4FFC" w:rsidRDefault="00046109" w:rsidP="000B4FFC">
      <w:r>
        <w:rPr>
          <w:b/>
        </w:rPr>
        <w:t>Assignment</w:t>
      </w:r>
      <w:r w:rsidR="007B3031" w:rsidRPr="007B3031">
        <w:rPr>
          <w:b/>
        </w:rPr>
        <w:t>:</w:t>
      </w:r>
      <w:r w:rsidR="007B3031" w:rsidRPr="007B3031">
        <w:t xml:space="preserve"> </w:t>
      </w:r>
      <w:r w:rsidR="000B4FFC" w:rsidRPr="000B4FFC">
        <w:t xml:space="preserve">The subcommittee </w:t>
      </w:r>
      <w:r w:rsidR="000B4FFC">
        <w:t>will</w:t>
      </w:r>
      <w:r w:rsidR="000B4FFC" w:rsidRPr="000B4FFC">
        <w:t xml:space="preserve"> </w:t>
      </w:r>
      <w:r w:rsidR="000B4FFC">
        <w:t xml:space="preserve">provide a status </w:t>
      </w:r>
      <w:r w:rsidR="000B4FFC" w:rsidRPr="000B4FFC">
        <w:t xml:space="preserve">report </w:t>
      </w:r>
      <w:r w:rsidR="000B4FFC">
        <w:t>at next meeting</w:t>
      </w:r>
      <w:r w:rsidR="000B4FFC" w:rsidRPr="000B4FFC">
        <w:t>.</w:t>
      </w:r>
    </w:p>
    <w:p w:rsidR="00E63E17" w:rsidRDefault="00E63E17" w:rsidP="001164F4">
      <w:pPr>
        <w:rPr>
          <w:u w:val="single"/>
        </w:rPr>
      </w:pPr>
    </w:p>
    <w:p w:rsidR="00122E44" w:rsidRPr="006E3717" w:rsidRDefault="00BE25F1" w:rsidP="00122E44">
      <w:pPr>
        <w:rPr>
          <w:b/>
          <w:u w:val="single"/>
        </w:rPr>
      </w:pPr>
      <w:r>
        <w:rPr>
          <w:b/>
          <w:u w:val="single"/>
        </w:rPr>
        <w:t>5</w:t>
      </w:r>
      <w:r w:rsidR="00366512">
        <w:rPr>
          <w:b/>
          <w:u w:val="single"/>
        </w:rPr>
        <w:t xml:space="preserve">. </w:t>
      </w:r>
      <w:r w:rsidR="006E3717" w:rsidRPr="006E3717">
        <w:rPr>
          <w:b/>
          <w:u w:val="single"/>
        </w:rPr>
        <w:t>Update from Administration</w:t>
      </w:r>
    </w:p>
    <w:p w:rsidR="004438AE" w:rsidRDefault="00BE25F1" w:rsidP="0090478A">
      <w:r>
        <w:t>No report provided.</w:t>
      </w:r>
    </w:p>
    <w:p w:rsidR="00BE25F1" w:rsidRDefault="00BE25F1" w:rsidP="0090478A"/>
    <w:p w:rsidR="006E3717" w:rsidRDefault="006E3717" w:rsidP="0090478A">
      <w:pPr>
        <w:rPr>
          <w:b/>
          <w:u w:val="single"/>
        </w:rPr>
      </w:pPr>
      <w:r>
        <w:rPr>
          <w:b/>
          <w:u w:val="single"/>
        </w:rPr>
        <w:t>Public Comments</w:t>
      </w:r>
    </w:p>
    <w:p w:rsidR="006E3717" w:rsidRDefault="008A473A" w:rsidP="0090478A">
      <w:r>
        <w:t xml:space="preserve">Mr. Scott </w:t>
      </w:r>
      <w:r w:rsidR="00107DE5">
        <w:t>Lara</w:t>
      </w:r>
      <w:r w:rsidR="00BE25F1">
        <w:t xml:space="preserve"> </w:t>
      </w:r>
      <w:r w:rsidR="006F52B0" w:rsidRPr="006F52B0">
        <w:t>held up a couple of “we buy houses” signs</w:t>
      </w:r>
      <w:r w:rsidR="006F52B0">
        <w:t xml:space="preserve"> and </w:t>
      </w:r>
      <w:r>
        <w:t>encouraged</w:t>
      </w:r>
      <w:r w:rsidR="006F52B0">
        <w:t xml:space="preserve"> the committee to take action </w:t>
      </w:r>
      <w:r w:rsidR="0006696A">
        <w:t xml:space="preserve">on </w:t>
      </w:r>
      <w:r w:rsidR="006F52B0">
        <w:t xml:space="preserve">snipe signs. </w:t>
      </w:r>
    </w:p>
    <w:p w:rsidR="0006696A" w:rsidRDefault="0006696A" w:rsidP="0090478A"/>
    <w:p w:rsidR="00107DE5" w:rsidRDefault="006C51B8" w:rsidP="006670ED">
      <w:r>
        <w:t xml:space="preserve">Ms. Doretha Tompkins commended Municipal Code Enforcement for picking up snipe signs.  She </w:t>
      </w:r>
      <w:r w:rsidR="00107DE5">
        <w:t xml:space="preserve">also commented about the </w:t>
      </w:r>
    </w:p>
    <w:p w:rsidR="00107DE5" w:rsidRDefault="00107DE5" w:rsidP="006670ED"/>
    <w:p w:rsidR="00107DE5" w:rsidRDefault="00107DE5" w:rsidP="006670ED">
      <w:r>
        <w:t xml:space="preserve">Ms. Gregory inquired </w:t>
      </w:r>
      <w:r w:rsidR="008C3C0E">
        <w:t>about t</w:t>
      </w:r>
      <w:r w:rsidR="00410587">
        <w:t>he number of personnel in A</w:t>
      </w:r>
      <w:r>
        <w:t xml:space="preserve">nimal </w:t>
      </w:r>
      <w:r w:rsidR="00410587">
        <w:t>C</w:t>
      </w:r>
      <w:r>
        <w:t xml:space="preserve">ontrol. </w:t>
      </w:r>
      <w:r w:rsidR="008C3C0E">
        <w:t>She called and reported a</w:t>
      </w:r>
      <w:r>
        <w:t xml:space="preserve"> dead animal in</w:t>
      </w:r>
      <w:r w:rsidR="008C3C0E">
        <w:t xml:space="preserve"> the road and was told a pickup service would take a week due to one employee.</w:t>
      </w:r>
    </w:p>
    <w:p w:rsidR="008C3C0E" w:rsidRDefault="008C3C0E" w:rsidP="006670ED"/>
    <w:p w:rsidR="006670ED" w:rsidRPr="006670ED" w:rsidRDefault="0094750E" w:rsidP="006670ED">
      <w:r>
        <w:t>All subcommittees are expected to provide a report at the next meeting</w:t>
      </w:r>
      <w:r w:rsidR="0049615D">
        <w:t xml:space="preserve"> which </w:t>
      </w:r>
      <w:r w:rsidR="006670ED">
        <w:t xml:space="preserve">is scheduled for </w:t>
      </w:r>
      <w:r w:rsidR="00107DE5">
        <w:t>8/31</w:t>
      </w:r>
      <w:r w:rsidR="006670ED" w:rsidRPr="006670ED">
        <w:t xml:space="preserve"> </w:t>
      </w:r>
      <w:r w:rsidR="006670ED">
        <w:t>in Council Chambers at 4:00p.m.</w:t>
      </w:r>
    </w:p>
    <w:p w:rsidR="006670ED" w:rsidRDefault="006670ED" w:rsidP="0090478A"/>
    <w:p w:rsidR="00232879" w:rsidRDefault="00232879" w:rsidP="0090478A">
      <w:r>
        <w:t xml:space="preserve">There being no </w:t>
      </w:r>
      <w:r w:rsidR="000F40EF">
        <w:t xml:space="preserve">public comment or </w:t>
      </w:r>
      <w:r>
        <w:t xml:space="preserve">further </w:t>
      </w:r>
      <w:r w:rsidR="000F40EF">
        <w:t>business</w:t>
      </w:r>
      <w:r w:rsidR="00107DE5">
        <w:t>, meeting was adjourned at 5:3</w:t>
      </w:r>
      <w:r w:rsidR="00312C1D">
        <w:t>3</w:t>
      </w:r>
      <w:r>
        <w:t>p.m.</w:t>
      </w:r>
    </w:p>
    <w:p w:rsidR="00232879" w:rsidRDefault="00232879" w:rsidP="0090478A"/>
    <w:p w:rsidR="00312C1D" w:rsidRDefault="00312C1D" w:rsidP="0090478A"/>
    <w:p w:rsidR="00117CF9" w:rsidRDefault="00935951" w:rsidP="0090478A">
      <w:r>
        <w:t>Yvonne P. Mitchell</w:t>
      </w:r>
      <w:r w:rsidR="00117CF9">
        <w:t xml:space="preserve">, </w:t>
      </w:r>
      <w:r>
        <w:t>Council Research Division</w:t>
      </w:r>
    </w:p>
    <w:p w:rsidR="00EC461F" w:rsidRDefault="008C3C0E" w:rsidP="0090478A">
      <w:r>
        <w:t>08.19</w:t>
      </w:r>
      <w:r w:rsidR="00D44DBA">
        <w:t>.15</w:t>
      </w:r>
      <w:r w:rsidR="00D44DBA">
        <w:tab/>
      </w:r>
      <w:r w:rsidR="00F06214">
        <w:tab/>
        <w:t>Posted 5:15</w:t>
      </w:r>
      <w:r w:rsidR="00070793">
        <w:t>p.m.</w:t>
      </w:r>
    </w:p>
    <w:p w:rsidR="00935951" w:rsidRPr="00712D91" w:rsidRDefault="00935951" w:rsidP="0090478A"/>
    <w:sectPr w:rsidR="00935951" w:rsidRPr="0071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14"/>
    <w:multiLevelType w:val="hybridMultilevel"/>
    <w:tmpl w:val="92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16F2"/>
    <w:multiLevelType w:val="hybridMultilevel"/>
    <w:tmpl w:val="A7C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5129"/>
    <w:rsid w:val="00010348"/>
    <w:rsid w:val="00011C75"/>
    <w:rsid w:val="00020D77"/>
    <w:rsid w:val="00046109"/>
    <w:rsid w:val="0006696A"/>
    <w:rsid w:val="00070793"/>
    <w:rsid w:val="000768AE"/>
    <w:rsid w:val="00092751"/>
    <w:rsid w:val="000B44E6"/>
    <w:rsid w:val="000B4FFC"/>
    <w:rsid w:val="000D11EB"/>
    <w:rsid w:val="000D6A9D"/>
    <w:rsid w:val="000E3E8C"/>
    <w:rsid w:val="000F40EF"/>
    <w:rsid w:val="001077E9"/>
    <w:rsid w:val="00107DE5"/>
    <w:rsid w:val="001164F4"/>
    <w:rsid w:val="00117CF9"/>
    <w:rsid w:val="00122E44"/>
    <w:rsid w:val="00150547"/>
    <w:rsid w:val="001666E7"/>
    <w:rsid w:val="001811FA"/>
    <w:rsid w:val="00196FA2"/>
    <w:rsid w:val="001A03EE"/>
    <w:rsid w:val="001A5C8D"/>
    <w:rsid w:val="001C4923"/>
    <w:rsid w:val="001D63CF"/>
    <w:rsid w:val="00232879"/>
    <w:rsid w:val="00250218"/>
    <w:rsid w:val="002C31C8"/>
    <w:rsid w:val="00312C1D"/>
    <w:rsid w:val="003447E6"/>
    <w:rsid w:val="00347BD3"/>
    <w:rsid w:val="00366512"/>
    <w:rsid w:val="00372EAF"/>
    <w:rsid w:val="00393373"/>
    <w:rsid w:val="00394F4E"/>
    <w:rsid w:val="003B0F8A"/>
    <w:rsid w:val="003B419A"/>
    <w:rsid w:val="003B772A"/>
    <w:rsid w:val="003C0D34"/>
    <w:rsid w:val="003F3702"/>
    <w:rsid w:val="003F72A4"/>
    <w:rsid w:val="00410587"/>
    <w:rsid w:val="004236B7"/>
    <w:rsid w:val="004313FF"/>
    <w:rsid w:val="004438AE"/>
    <w:rsid w:val="00450432"/>
    <w:rsid w:val="00457B4D"/>
    <w:rsid w:val="00472501"/>
    <w:rsid w:val="0049615D"/>
    <w:rsid w:val="004B3DE1"/>
    <w:rsid w:val="004C44DD"/>
    <w:rsid w:val="004E6BD5"/>
    <w:rsid w:val="004E70B6"/>
    <w:rsid w:val="004F7E83"/>
    <w:rsid w:val="00501E89"/>
    <w:rsid w:val="00575962"/>
    <w:rsid w:val="005852D4"/>
    <w:rsid w:val="005C18AE"/>
    <w:rsid w:val="005D2764"/>
    <w:rsid w:val="005D518A"/>
    <w:rsid w:val="006333DC"/>
    <w:rsid w:val="006412D7"/>
    <w:rsid w:val="00644863"/>
    <w:rsid w:val="006670ED"/>
    <w:rsid w:val="006C51B8"/>
    <w:rsid w:val="006E3717"/>
    <w:rsid w:val="006E568D"/>
    <w:rsid w:val="006F2A45"/>
    <w:rsid w:val="006F52B0"/>
    <w:rsid w:val="00712D91"/>
    <w:rsid w:val="00746D90"/>
    <w:rsid w:val="0079480C"/>
    <w:rsid w:val="007B3031"/>
    <w:rsid w:val="007B3FDA"/>
    <w:rsid w:val="007D401C"/>
    <w:rsid w:val="007E6FCD"/>
    <w:rsid w:val="008161A0"/>
    <w:rsid w:val="00882B0E"/>
    <w:rsid w:val="00886C5D"/>
    <w:rsid w:val="0089014B"/>
    <w:rsid w:val="008903BB"/>
    <w:rsid w:val="008A473A"/>
    <w:rsid w:val="008B17EC"/>
    <w:rsid w:val="008C3C0E"/>
    <w:rsid w:val="0090478A"/>
    <w:rsid w:val="0090620A"/>
    <w:rsid w:val="00935951"/>
    <w:rsid w:val="0094750E"/>
    <w:rsid w:val="00982FCD"/>
    <w:rsid w:val="00993B51"/>
    <w:rsid w:val="009A2A5A"/>
    <w:rsid w:val="009A524F"/>
    <w:rsid w:val="009B61CD"/>
    <w:rsid w:val="00A0149F"/>
    <w:rsid w:val="00A340F2"/>
    <w:rsid w:val="00A95AB4"/>
    <w:rsid w:val="00AB4C13"/>
    <w:rsid w:val="00AB67B8"/>
    <w:rsid w:val="00AC2D4C"/>
    <w:rsid w:val="00AE717C"/>
    <w:rsid w:val="00AF1A24"/>
    <w:rsid w:val="00B00A7F"/>
    <w:rsid w:val="00B64A66"/>
    <w:rsid w:val="00BC07AA"/>
    <w:rsid w:val="00BD3D2E"/>
    <w:rsid w:val="00BE25F1"/>
    <w:rsid w:val="00BF56DB"/>
    <w:rsid w:val="00C12BB2"/>
    <w:rsid w:val="00C306BA"/>
    <w:rsid w:val="00C43925"/>
    <w:rsid w:val="00CA3625"/>
    <w:rsid w:val="00CB58A3"/>
    <w:rsid w:val="00D073C4"/>
    <w:rsid w:val="00D10072"/>
    <w:rsid w:val="00D44DBA"/>
    <w:rsid w:val="00D529F2"/>
    <w:rsid w:val="00D7235B"/>
    <w:rsid w:val="00DB372A"/>
    <w:rsid w:val="00DD0E79"/>
    <w:rsid w:val="00DD33BD"/>
    <w:rsid w:val="00DD663D"/>
    <w:rsid w:val="00DE16B8"/>
    <w:rsid w:val="00E12AA5"/>
    <w:rsid w:val="00E32DEE"/>
    <w:rsid w:val="00E52905"/>
    <w:rsid w:val="00E63E17"/>
    <w:rsid w:val="00E64717"/>
    <w:rsid w:val="00E8503F"/>
    <w:rsid w:val="00EA75B3"/>
    <w:rsid w:val="00EC461F"/>
    <w:rsid w:val="00EE3CA9"/>
    <w:rsid w:val="00F06214"/>
    <w:rsid w:val="00F06B1F"/>
    <w:rsid w:val="00F07154"/>
    <w:rsid w:val="00F11EAE"/>
    <w:rsid w:val="00F42826"/>
    <w:rsid w:val="00F43A3B"/>
    <w:rsid w:val="00FD6A2E"/>
    <w:rsid w:val="00FE47DE"/>
    <w:rsid w:val="00FF45C9"/>
    <w:rsid w:val="00FF4B6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9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5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1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5099-5A66-4A18-94D2-1AD706AD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3</cp:revision>
  <cp:lastPrinted>2015-06-26T15:20:00Z</cp:lastPrinted>
  <dcterms:created xsi:type="dcterms:W3CDTF">2015-08-17T21:36:00Z</dcterms:created>
  <dcterms:modified xsi:type="dcterms:W3CDTF">2015-08-19T21:01:00Z</dcterms:modified>
</cp:coreProperties>
</file>